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shd w:val="clear" w:color="auto" w:fill="DDDDDD"/>
        <w:tblCellMar>
          <w:left w:w="0" w:type="dxa"/>
          <w:right w:w="0" w:type="dxa"/>
        </w:tblCellMar>
        <w:tblLook w:val="04A0" w:firstRow="1" w:lastRow="0" w:firstColumn="1" w:lastColumn="0" w:noHBand="0" w:noVBand="1"/>
      </w:tblPr>
      <w:tblGrid>
        <w:gridCol w:w="10198"/>
      </w:tblGrid>
      <w:tr w:rsidR="00EB345E" w14:paraId="1161F628" w14:textId="77777777" w:rsidTr="00EB345E">
        <w:tc>
          <w:tcPr>
            <w:tcW w:w="0" w:type="auto"/>
            <w:shd w:val="clear" w:color="auto" w:fill="DDDDDD"/>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10198"/>
            </w:tblGrid>
            <w:tr w:rsidR="00EB345E" w14:paraId="3218C506" w14:textId="77777777">
              <w:trPr>
                <w:jc w:val="center"/>
              </w:trPr>
              <w:tc>
                <w:tcPr>
                  <w:tcW w:w="0" w:type="auto"/>
                  <w:shd w:val="clear" w:color="auto" w:fill="F5F5F5"/>
                  <w:hideMark/>
                </w:tcPr>
                <w:tbl>
                  <w:tblPr>
                    <w:tblW w:w="9000" w:type="dxa"/>
                    <w:jc w:val="center"/>
                    <w:tblCellMar>
                      <w:left w:w="0" w:type="dxa"/>
                      <w:right w:w="0" w:type="dxa"/>
                    </w:tblCellMar>
                    <w:tblLook w:val="04A0" w:firstRow="1" w:lastRow="0" w:firstColumn="1" w:lastColumn="0" w:noHBand="0" w:noVBand="1"/>
                  </w:tblPr>
                  <w:tblGrid>
                    <w:gridCol w:w="10198"/>
                  </w:tblGrid>
                  <w:tr w:rsidR="00EB345E" w14:paraId="12FA1908"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0198"/>
                        </w:tblGrid>
                        <w:tr w:rsidR="00EB345E" w14:paraId="228F3A5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EB345E" w14:paraId="019C578F" w14:textId="77777777">
                                <w:tc>
                                  <w:tcPr>
                                    <w:tcW w:w="0" w:type="auto"/>
                                    <w:tcMar>
                                      <w:top w:w="0" w:type="dxa"/>
                                      <w:left w:w="135" w:type="dxa"/>
                                      <w:bottom w:w="0" w:type="dxa"/>
                                      <w:right w:w="135" w:type="dxa"/>
                                    </w:tcMar>
                                    <w:hideMark/>
                                  </w:tcPr>
                                  <w:p w14:paraId="552B850E" w14:textId="46471A64" w:rsidR="00EB345E" w:rsidRDefault="00EB345E">
                                    <w:pPr>
                                      <w:jc w:val="center"/>
                                      <w:rPr>
                                        <w:rFonts w:eastAsia="Times New Roman"/>
                                      </w:rPr>
                                    </w:pPr>
                                    <w:r>
                                      <w:fldChar w:fldCharType="begin"/>
                                    </w:r>
                                    <w:r>
                                      <w:instrText xml:space="preserve"> INCLUDEPICTURE "https://gallery.mailchimp.com/78c5c912ff8545c13503811fe/images/3d09dcf2-4974-4900-bca0-5c4d8b4a99b7.png" \* MERGEFORMATINET </w:instrText>
                                    </w:r>
                                    <w:r>
                                      <w:fldChar w:fldCharType="separate"/>
                                    </w:r>
                                    <w:r>
                                      <w:rPr>
                                        <w:noProof/>
                                      </w:rPr>
                                      <w:drawing>
                                        <wp:inline distT="0" distB="0" distL="0" distR="0" wp14:anchorId="7F22834D" wp14:editId="0D63BC9A">
                                          <wp:extent cx="6199505" cy="1350645"/>
                                          <wp:effectExtent l="0" t="0" r="0" b="0"/>
                                          <wp:docPr id="14" name="Picture 1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9505" cy="1350645"/>
                                                  </a:xfrm>
                                                  <a:prstGeom prst="rect">
                                                    <a:avLst/>
                                                  </a:prstGeom>
                                                  <a:noFill/>
                                                  <a:ln>
                                                    <a:noFill/>
                                                  </a:ln>
                                                </pic:spPr>
                                              </pic:pic>
                                            </a:graphicData>
                                          </a:graphic>
                                        </wp:inline>
                                      </w:drawing>
                                    </w:r>
                                    <w:r>
                                      <w:fldChar w:fldCharType="end"/>
                                    </w:r>
                                  </w:p>
                                </w:tc>
                              </w:tr>
                            </w:tbl>
                            <w:p w14:paraId="65D7CAE2" w14:textId="77777777" w:rsidR="00EB345E" w:rsidRDefault="00EB345E"/>
                          </w:tc>
                        </w:tr>
                      </w:tbl>
                      <w:p w14:paraId="6BBCD7D1" w14:textId="77777777" w:rsidR="00EB345E" w:rsidRDefault="00EB345E">
                        <w:pPr>
                          <w:rPr>
                            <w:vanish/>
                          </w:rPr>
                        </w:pPr>
                      </w:p>
                      <w:tbl>
                        <w:tblPr>
                          <w:tblW w:w="5000" w:type="pct"/>
                          <w:tblCellMar>
                            <w:left w:w="0" w:type="dxa"/>
                            <w:right w:w="0" w:type="dxa"/>
                          </w:tblCellMar>
                          <w:tblLook w:val="04A0" w:firstRow="1" w:lastRow="0" w:firstColumn="1" w:lastColumn="0" w:noHBand="0" w:noVBand="1"/>
                        </w:tblPr>
                        <w:tblGrid>
                          <w:gridCol w:w="10198"/>
                        </w:tblGrid>
                        <w:tr w:rsidR="00EB345E" w14:paraId="44F0681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EB345E" w14:paraId="75BCA652" w14:textId="77777777">
                                <w:tc>
                                  <w:tcPr>
                                    <w:tcW w:w="0" w:type="auto"/>
                                    <w:tcMar>
                                      <w:top w:w="0" w:type="dxa"/>
                                      <w:left w:w="270" w:type="dxa"/>
                                      <w:bottom w:w="135" w:type="dxa"/>
                                      <w:right w:w="270" w:type="dxa"/>
                                    </w:tcMar>
                                    <w:hideMark/>
                                  </w:tcPr>
                                  <w:p w14:paraId="46B05513" w14:textId="77777777" w:rsidR="00EB345E" w:rsidRDefault="00EB345E">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Week 29 of:</w:t>
                                    </w:r>
                                  </w:p>
                                </w:tc>
                              </w:tr>
                            </w:tbl>
                            <w:p w14:paraId="6145919F" w14:textId="77777777" w:rsidR="00EB345E" w:rsidRDefault="00EB345E">
                              <w:pPr>
                                <w:rPr>
                                  <w:rFonts w:ascii="Times New Roman" w:hAnsi="Times New Roman"/>
                                </w:rPr>
                              </w:pPr>
                            </w:p>
                          </w:tc>
                        </w:tr>
                      </w:tbl>
                      <w:p w14:paraId="55D60056" w14:textId="77777777" w:rsidR="00EB345E" w:rsidRDefault="00EB345E">
                        <w:pPr>
                          <w:rPr>
                            <w:vanish/>
                          </w:rPr>
                        </w:pPr>
                      </w:p>
                      <w:tbl>
                        <w:tblPr>
                          <w:tblW w:w="5000" w:type="pct"/>
                          <w:tblCellMar>
                            <w:left w:w="0" w:type="dxa"/>
                            <w:right w:w="0" w:type="dxa"/>
                          </w:tblCellMar>
                          <w:tblLook w:val="04A0" w:firstRow="1" w:lastRow="0" w:firstColumn="1" w:lastColumn="0" w:noHBand="0" w:noVBand="1"/>
                        </w:tblPr>
                        <w:tblGrid>
                          <w:gridCol w:w="10198"/>
                        </w:tblGrid>
                        <w:tr w:rsidR="00EB345E" w14:paraId="48FBF8B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EB345E" w14:paraId="2C3DB51C" w14:textId="77777777">
                                <w:tc>
                                  <w:tcPr>
                                    <w:tcW w:w="0" w:type="auto"/>
                                    <w:hideMark/>
                                  </w:tcPr>
                                  <w:p w14:paraId="0DD7D61C" w14:textId="7EA4BA3D" w:rsidR="00EB345E" w:rsidRDefault="00EB345E">
                                    <w:pPr>
                                      <w:jc w:val="center"/>
                                    </w:pPr>
                                    <w:r>
                                      <w:fldChar w:fldCharType="begin"/>
                                    </w:r>
                                    <w:r>
                                      <w:instrText xml:space="preserve"> INCLUDEPICTURE "https://mcusercontent.com/0e9feb1606f1b4129a8b65828/images/c03f8797-e323-4265-946e-a4e6a0864c43.jpg" \* MERGEFORMATINET </w:instrText>
                                    </w:r>
                                    <w:r>
                                      <w:fldChar w:fldCharType="separate"/>
                                    </w:r>
                                    <w:r>
                                      <w:rPr>
                                        <w:noProof/>
                                      </w:rPr>
                                      <w:drawing>
                                        <wp:inline distT="0" distB="0" distL="0" distR="0" wp14:anchorId="6A14164F" wp14:editId="531C458B">
                                          <wp:extent cx="6475730" cy="3637280"/>
                                          <wp:effectExtent l="0" t="0" r="127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5730" cy="3637280"/>
                                                  </a:xfrm>
                                                  <a:prstGeom prst="rect">
                                                    <a:avLst/>
                                                  </a:prstGeom>
                                                  <a:noFill/>
                                                  <a:ln>
                                                    <a:noFill/>
                                                  </a:ln>
                                                </pic:spPr>
                                              </pic:pic>
                                            </a:graphicData>
                                          </a:graphic>
                                        </wp:inline>
                                      </w:drawing>
                                    </w:r>
                                    <w:r>
                                      <w:fldChar w:fldCharType="end"/>
                                    </w:r>
                                  </w:p>
                                </w:tc>
                              </w:tr>
                            </w:tbl>
                            <w:p w14:paraId="5659AAD8" w14:textId="77777777" w:rsidR="00EB345E" w:rsidRDefault="00EB345E"/>
                          </w:tc>
                        </w:tr>
                      </w:tbl>
                      <w:p w14:paraId="05821D17" w14:textId="77777777" w:rsidR="00EB345E" w:rsidRDefault="00EB345E">
                        <w:pPr>
                          <w:rPr>
                            <w:vanish/>
                          </w:rPr>
                        </w:pPr>
                      </w:p>
                      <w:tbl>
                        <w:tblPr>
                          <w:tblW w:w="5000" w:type="pct"/>
                          <w:tblCellMar>
                            <w:left w:w="0" w:type="dxa"/>
                            <w:right w:w="0" w:type="dxa"/>
                          </w:tblCellMar>
                          <w:tblLook w:val="04A0" w:firstRow="1" w:lastRow="0" w:firstColumn="1" w:lastColumn="0" w:noHBand="0" w:noVBand="1"/>
                        </w:tblPr>
                        <w:tblGrid>
                          <w:gridCol w:w="10198"/>
                        </w:tblGrid>
                        <w:tr w:rsidR="00EB345E" w14:paraId="3AC616FA"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EB345E" w14:paraId="5C8142E2" w14:textId="77777777">
                                <w:tc>
                                  <w:tcPr>
                                    <w:tcW w:w="0" w:type="auto"/>
                                    <w:vAlign w:val="center"/>
                                    <w:hideMark/>
                                  </w:tcPr>
                                  <w:p w14:paraId="6BA2B832" w14:textId="77777777" w:rsidR="00EB345E" w:rsidRDefault="00EB345E"/>
                                </w:tc>
                              </w:tr>
                            </w:tbl>
                            <w:p w14:paraId="65EFC785" w14:textId="77777777" w:rsidR="00EB345E" w:rsidRDefault="00EB345E"/>
                          </w:tc>
                        </w:tr>
                      </w:tbl>
                      <w:p w14:paraId="5C6C509B" w14:textId="77777777" w:rsidR="00EB345E" w:rsidRDefault="00EB345E">
                        <w:pPr>
                          <w:rPr>
                            <w:vanish/>
                          </w:rPr>
                        </w:pPr>
                      </w:p>
                      <w:tbl>
                        <w:tblPr>
                          <w:tblW w:w="5000" w:type="pct"/>
                          <w:tblCellMar>
                            <w:left w:w="0" w:type="dxa"/>
                            <w:right w:w="0" w:type="dxa"/>
                          </w:tblCellMar>
                          <w:tblLook w:val="04A0" w:firstRow="1" w:lastRow="0" w:firstColumn="1" w:lastColumn="0" w:noHBand="0" w:noVBand="1"/>
                        </w:tblPr>
                        <w:tblGrid>
                          <w:gridCol w:w="10198"/>
                        </w:tblGrid>
                        <w:tr w:rsidR="00EB345E" w14:paraId="3C388AC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EB345E" w14:paraId="565C6543"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EB345E" w14:paraId="0D2ED5BA" w14:textId="77777777">
                                      <w:tc>
                                        <w:tcPr>
                                          <w:tcW w:w="0" w:type="auto"/>
                                          <w:shd w:val="clear" w:color="auto" w:fill="4B6AA2"/>
                                          <w:tcMar>
                                            <w:top w:w="270" w:type="dxa"/>
                                            <w:left w:w="270" w:type="dxa"/>
                                            <w:bottom w:w="270" w:type="dxa"/>
                                            <w:right w:w="270" w:type="dxa"/>
                                          </w:tcMar>
                                          <w:hideMark/>
                                        </w:tcPr>
                                        <w:p w14:paraId="425D37B4" w14:textId="77777777" w:rsidR="00EB345E" w:rsidRDefault="00EB345E">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58C9F22C" w14:textId="77777777" w:rsidR="00EB345E" w:rsidRDefault="00EB345E">
                                    <w:pPr>
                                      <w:rPr>
                                        <w:rFonts w:ascii="Times New Roman" w:hAnsi="Times New Roman"/>
                                      </w:rPr>
                                    </w:pPr>
                                  </w:p>
                                </w:tc>
                              </w:tr>
                            </w:tbl>
                            <w:p w14:paraId="31A5AF08" w14:textId="77777777" w:rsidR="00EB345E" w:rsidRDefault="00EB345E"/>
                          </w:tc>
                        </w:tr>
                      </w:tbl>
                      <w:p w14:paraId="60305845" w14:textId="77777777" w:rsidR="00EB345E" w:rsidRDefault="00EB345E">
                        <w:pPr>
                          <w:rPr>
                            <w:vanish/>
                          </w:rPr>
                        </w:pPr>
                      </w:p>
                      <w:tbl>
                        <w:tblPr>
                          <w:tblW w:w="5000" w:type="pct"/>
                          <w:tblCellMar>
                            <w:left w:w="0" w:type="dxa"/>
                            <w:right w:w="0" w:type="dxa"/>
                          </w:tblCellMar>
                          <w:tblLook w:val="04A0" w:firstRow="1" w:lastRow="0" w:firstColumn="1" w:lastColumn="0" w:noHBand="0" w:noVBand="1"/>
                        </w:tblPr>
                        <w:tblGrid>
                          <w:gridCol w:w="10198"/>
                        </w:tblGrid>
                        <w:tr w:rsidR="00EB345E" w14:paraId="1610EF0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EB345E" w14:paraId="430AD98E" w14:textId="77777777">
                                <w:tc>
                                  <w:tcPr>
                                    <w:tcW w:w="0" w:type="auto"/>
                                    <w:tcMar>
                                      <w:top w:w="0" w:type="dxa"/>
                                      <w:left w:w="270" w:type="dxa"/>
                                      <w:bottom w:w="135" w:type="dxa"/>
                                      <w:right w:w="270" w:type="dxa"/>
                                    </w:tcMar>
                                    <w:hideMark/>
                                  </w:tcPr>
                                  <w:p w14:paraId="39B72B74" w14:textId="77777777" w:rsidR="00EB345E" w:rsidRDefault="00EB345E">
                                    <w:pPr>
                                      <w:spacing w:line="360" w:lineRule="atLeast"/>
                                      <w:rPr>
                                        <w:rFonts w:ascii="Verdana" w:hAnsi="Verdana"/>
                                        <w:color w:val="222222"/>
                                      </w:rPr>
                                    </w:pPr>
                                    <w:r>
                                      <w:rPr>
                                        <w:rFonts w:ascii="Helvetica Neue" w:hAnsi="Helvetica Neue"/>
                                        <w:color w:val="222222"/>
                                        <w:sz w:val="18"/>
                                        <w:szCs w:val="18"/>
                                      </w:rPr>
                                      <w:t>Each week, some of our Councillors share a selection of articles, analytical pieces, videos and podcasts about what is happening in the world of international affairs. This week, our Councillors explore the recent explosion of conflict between Armenia and Azerbaijan, the potential for greater Australia-South Korea defence collaboration and changes in the British countryside.</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are their own. The Australian Institute of International Affairs New South Wales does not take policy positions.</w:t>
                                    </w:r>
                                  </w:p>
                                </w:tc>
                              </w:tr>
                            </w:tbl>
                            <w:p w14:paraId="12490351" w14:textId="77777777" w:rsidR="00EB345E" w:rsidRDefault="00EB345E">
                              <w:pPr>
                                <w:rPr>
                                  <w:rFonts w:ascii="Times New Roman" w:hAnsi="Times New Roman"/>
                                </w:rPr>
                              </w:pPr>
                            </w:p>
                          </w:tc>
                        </w:tr>
                      </w:tbl>
                      <w:p w14:paraId="22AEA6A7" w14:textId="77777777" w:rsidR="00EB345E" w:rsidRDefault="00EB345E">
                        <w:pPr>
                          <w:rPr>
                            <w:vanish/>
                          </w:rPr>
                        </w:pPr>
                      </w:p>
                      <w:tbl>
                        <w:tblPr>
                          <w:tblW w:w="5000" w:type="pct"/>
                          <w:tblCellMar>
                            <w:left w:w="0" w:type="dxa"/>
                            <w:right w:w="0" w:type="dxa"/>
                          </w:tblCellMar>
                          <w:tblLook w:val="04A0" w:firstRow="1" w:lastRow="0" w:firstColumn="1" w:lastColumn="0" w:noHBand="0" w:noVBand="1"/>
                        </w:tblPr>
                        <w:tblGrid>
                          <w:gridCol w:w="10198"/>
                        </w:tblGrid>
                        <w:tr w:rsidR="00EB345E" w14:paraId="51BDC375"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EB345E" w14:paraId="193C0C28" w14:textId="77777777">
                                <w:tc>
                                  <w:tcPr>
                                    <w:tcW w:w="0" w:type="auto"/>
                                    <w:vAlign w:val="center"/>
                                    <w:hideMark/>
                                  </w:tcPr>
                                  <w:p w14:paraId="213C169B" w14:textId="77777777" w:rsidR="00EB345E" w:rsidRDefault="00EB345E"/>
                                </w:tc>
                              </w:tr>
                            </w:tbl>
                            <w:p w14:paraId="2FAB17D3" w14:textId="77777777" w:rsidR="00EB345E" w:rsidRDefault="00EB345E"/>
                          </w:tc>
                        </w:tr>
                      </w:tbl>
                      <w:p w14:paraId="7800361E" w14:textId="77777777" w:rsidR="00EB345E" w:rsidRDefault="00EB345E">
                        <w:pPr>
                          <w:rPr>
                            <w:vanish/>
                          </w:rPr>
                        </w:pPr>
                      </w:p>
                      <w:tbl>
                        <w:tblPr>
                          <w:tblW w:w="5000" w:type="pct"/>
                          <w:tblCellMar>
                            <w:left w:w="0" w:type="dxa"/>
                            <w:right w:w="0" w:type="dxa"/>
                          </w:tblCellMar>
                          <w:tblLook w:val="04A0" w:firstRow="1" w:lastRow="0" w:firstColumn="1" w:lastColumn="0" w:noHBand="0" w:noVBand="1"/>
                        </w:tblPr>
                        <w:tblGrid>
                          <w:gridCol w:w="10198"/>
                        </w:tblGrid>
                        <w:tr w:rsidR="00EB345E" w14:paraId="11A33B9E"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EB345E" w14:paraId="574CB291"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4"/>
                                    </w:tblGrid>
                                    <w:tr w:rsidR="00EB345E" w14:paraId="332BC1BF" w14:textId="77777777">
                                      <w:tc>
                                        <w:tcPr>
                                          <w:tcW w:w="0" w:type="auto"/>
                                          <w:hideMark/>
                                        </w:tcPr>
                                        <w:p w14:paraId="3B291C34" w14:textId="642357BC" w:rsidR="00EB345E" w:rsidRDefault="00EB345E">
                                          <w:pPr>
                                            <w:jc w:val="right"/>
                                          </w:pPr>
                                          <w:r>
                                            <w:lastRenderedPageBreak/>
                                            <w:fldChar w:fldCharType="begin"/>
                                          </w:r>
                                          <w:r>
                                            <w:instrText xml:space="preserve"> INCLUDEPICTURE "https://mcusercontent.com/0e9feb1606f1b4129a8b65828/images/58767647-8f6f-41c8-a847-ba32d2d2de65.png" \* MERGEFORMATINET </w:instrText>
                                          </w:r>
                                          <w:r>
                                            <w:fldChar w:fldCharType="separate"/>
                                          </w:r>
                                          <w:r>
                                            <w:rPr>
                                              <w:noProof/>
                                            </w:rPr>
                                            <w:drawing>
                                              <wp:inline distT="0" distB="0" distL="0" distR="0" wp14:anchorId="1FA8BFED" wp14:editId="3AE0FBA9">
                                                <wp:extent cx="3355340" cy="34397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55340" cy="3439795"/>
                                                        </a:xfrm>
                                                        <a:prstGeom prst="rect">
                                                          <a:avLst/>
                                                        </a:prstGeom>
                                                        <a:noFill/>
                                                        <a:ln>
                                                          <a:noFill/>
                                                        </a:ln>
                                                      </pic:spPr>
                                                    </pic:pic>
                                                  </a:graphicData>
                                                </a:graphic>
                                              </wp:inline>
                                            </w:drawing>
                                          </w:r>
                                          <w: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EB345E" w14:paraId="17D7C491" w14:textId="77777777">
                                      <w:tc>
                                        <w:tcPr>
                                          <w:tcW w:w="0" w:type="auto"/>
                                          <w:hideMark/>
                                        </w:tcPr>
                                        <w:p w14:paraId="30B48179" w14:textId="77777777" w:rsidR="00EB345E" w:rsidRDefault="00EB345E">
                                          <w:pPr>
                                            <w:pStyle w:val="NormalWeb"/>
                                            <w:spacing w:before="150" w:beforeAutospacing="0" w:after="150" w:afterAutospacing="0" w:line="300" w:lineRule="atLeast"/>
                                            <w:rPr>
                                              <w:rFonts w:ascii="Verdana" w:hAnsi="Verdana"/>
                                              <w:color w:val="222222"/>
                                            </w:rPr>
                                          </w:pPr>
                                          <w:r>
                                            <w:rPr>
                                              <w:rStyle w:val="Strong"/>
                                              <w:rFonts w:ascii="Helvetica Neue" w:hAnsi="Helvetica Neue"/>
                                              <w:color w:val="4B6AA2"/>
                                              <w:sz w:val="30"/>
                                              <w:szCs w:val="30"/>
                                            </w:rPr>
                                            <w:t>Azerbaijan and Armenia: a new flashpoint?</w:t>
                                          </w:r>
                                          <w:r>
                                            <w:rPr>
                                              <w:rFonts w:ascii="Verdana" w:hAnsi="Verdana"/>
                                              <w:color w:val="222222"/>
                                            </w:rPr>
                                            <w:br/>
                                          </w:r>
                                          <w:r>
                                            <w:rPr>
                                              <w:rFonts w:ascii="Verdana" w:hAnsi="Verdana"/>
                                              <w:color w:val="222222"/>
                                            </w:rPr>
                                            <w:br/>
                                          </w:r>
                                          <w:r>
                                            <w:rPr>
                                              <w:rFonts w:ascii="Helvetica Neue" w:hAnsi="Helvetica Neue"/>
                                              <w:color w:val="222222"/>
                                              <w:sz w:val="18"/>
                                              <w:szCs w:val="18"/>
                                            </w:rPr>
                                            <w:t>Armed conflict between Armenia and Azerbaijan over the disputed region of Nagorno-Karabakh has </w:t>
                                          </w:r>
                                          <w:hyperlink r:id="rId8" w:tgtFrame="_blank" w:history="1">
                                            <w:r>
                                              <w:rPr>
                                                <w:rStyle w:val="Hyperlink"/>
                                                <w:rFonts w:ascii="Helvetica Neue" w:hAnsi="Helvetica Neue"/>
                                                <w:b/>
                                                <w:bCs/>
                                                <w:color w:val="4C6AA2"/>
                                                <w:sz w:val="18"/>
                                                <w:szCs w:val="18"/>
                                              </w:rPr>
                                              <w:t>intensified</w:t>
                                            </w:r>
                                          </w:hyperlink>
                                          <w:r>
                                            <w:rPr>
                                              <w:rFonts w:ascii="Helvetica Neue" w:hAnsi="Helvetica Neue"/>
                                              <w:color w:val="222222"/>
                                              <w:sz w:val="18"/>
                                              <w:szCs w:val="18"/>
                                            </w:rPr>
                                            <w:t xml:space="preserve"> in recent weeks. Although internationally recognised as a part of the predominantly Muslim Azerbaijan, Nagorno-Karabakh is ethnically Armenian and mainly Christian Orthodox. Many analyses refer to long-standing historical grievances between these communities, but Jo </w:t>
                                          </w:r>
                                          <w:proofErr w:type="spellStart"/>
                                          <w:r>
                                            <w:rPr>
                                              <w:rFonts w:ascii="Helvetica Neue" w:hAnsi="Helvetica Neue"/>
                                              <w:color w:val="222222"/>
                                              <w:sz w:val="18"/>
                                              <w:szCs w:val="18"/>
                                            </w:rPr>
                                            <w:t>Lacock</w:t>
                                          </w:r>
                                          <w:proofErr w:type="spellEnd"/>
                                          <w:r>
                                            <w:rPr>
                                              <w:rFonts w:ascii="Helvetica Neue" w:hAnsi="Helvetica Neue"/>
                                              <w:color w:val="222222"/>
                                              <w:sz w:val="18"/>
                                              <w:szCs w:val="18"/>
                                            </w:rPr>
                                            <w:t xml:space="preserve"> in </w:t>
                                          </w:r>
                                          <w:hyperlink r:id="rId9" w:tgtFrame="_blank" w:history="1">
                                            <w:r>
                                              <w:rPr>
                                                <w:rStyle w:val="Emphasis"/>
                                                <w:rFonts w:ascii="Helvetica Neue" w:hAnsi="Helvetica Neue"/>
                                                <w:b/>
                                                <w:bCs/>
                                                <w:color w:val="4C6AA2"/>
                                                <w:sz w:val="18"/>
                                                <w:szCs w:val="18"/>
                                              </w:rPr>
                                              <w:t>History Today</w:t>
                                            </w:r>
                                          </w:hyperlink>
                                          <w:r>
                                            <w:rPr>
                                              <w:rFonts w:ascii="Helvetica Neue" w:hAnsi="Helvetica Neue"/>
                                              <w:color w:val="222222"/>
                                              <w:sz w:val="18"/>
                                              <w:szCs w:val="18"/>
                                            </w:rPr>
                                            <w:t> argues that the real problems are more recent, originating partly from Soviet-era border arrangements which exacerbated regional tensions. The region was seized by Armenia in the 1990s as the Soviet Union disintegrated; the most recent fighting is the most serious since a ceasefire was signed in 1994. Last weekend media reported a Russian-brokered ceasefire, but more recent reports suggest this has not held. The conflict threatens to involve major regional players: Armenia has a defence treaty with Russia, while Azerbaijan is reportedly receiving military assistance and defence supplies from Turkey and Israel. An </w:t>
                                          </w:r>
                                          <w:hyperlink r:id="rId10" w:tgtFrame="_blank" w:history="1">
                                            <w:r>
                                              <w:rPr>
                                                <w:rStyle w:val="Hyperlink"/>
                                                <w:rFonts w:ascii="Helvetica Neue" w:hAnsi="Helvetica Neue"/>
                                                <w:b/>
                                                <w:bCs/>
                                                <w:color w:val="4C6AA2"/>
                                                <w:sz w:val="18"/>
                                                <w:szCs w:val="18"/>
                                              </w:rPr>
                                              <w:t>ASPI report</w:t>
                                            </w:r>
                                          </w:hyperlink>
                                          <w:r>
                                            <w:rPr>
                                              <w:rFonts w:ascii="Helvetica Neue" w:hAnsi="Helvetica Neue"/>
                                              <w:color w:val="222222"/>
                                              <w:sz w:val="18"/>
                                              <w:szCs w:val="18"/>
                                            </w:rPr>
                                            <w:t> foresees other outside involvement, including Iranian support of Armenia.</w:t>
                                          </w:r>
                                          <w:r>
                                            <w:rPr>
                                              <w:rFonts w:ascii="Verdana" w:hAnsi="Verdana"/>
                                              <w:color w:val="222222"/>
                                            </w:rPr>
                                            <w:br/>
                                          </w:r>
                                          <w:r>
                                            <w:rPr>
                                              <w:rFonts w:ascii="Helvetica Neue" w:hAnsi="Helvetica Neue"/>
                                              <w:color w:val="222222"/>
                                              <w:sz w:val="15"/>
                                              <w:szCs w:val="15"/>
                                            </w:rPr>
                                            <w:t>Image credit: </w:t>
                                          </w:r>
                                          <w:hyperlink r:id="rId11" w:tgtFrame="_blank" w:history="1">
                                            <w:r>
                                              <w:rPr>
                                                <w:rStyle w:val="Hyperlink"/>
                                                <w:rFonts w:ascii="Helvetica Neue" w:hAnsi="Helvetica Neue"/>
                                                <w:b/>
                                                <w:bCs/>
                                                <w:color w:val="4C6AA2"/>
                                                <w:sz w:val="15"/>
                                                <w:szCs w:val="15"/>
                                              </w:rPr>
                                              <w:t>The Economist</w:t>
                                            </w:r>
                                          </w:hyperlink>
                                        </w:p>
                                      </w:tc>
                                    </w:tr>
                                  </w:tbl>
                                  <w:p w14:paraId="4B9CBEB3" w14:textId="77777777" w:rsidR="00EB345E" w:rsidRDefault="00EB345E">
                                    <w:pPr>
                                      <w:rPr>
                                        <w:rFonts w:ascii="Times New Roman" w:hAnsi="Times New Roman"/>
                                      </w:rPr>
                                    </w:pPr>
                                  </w:p>
                                </w:tc>
                              </w:tr>
                            </w:tbl>
                            <w:p w14:paraId="346B40D7" w14:textId="77777777" w:rsidR="00EB345E" w:rsidRDefault="00EB345E"/>
                          </w:tc>
                        </w:tr>
                      </w:tbl>
                      <w:p w14:paraId="3E32E920" w14:textId="77777777" w:rsidR="00EB345E" w:rsidRDefault="00EB345E">
                        <w:pPr>
                          <w:rPr>
                            <w:vanish/>
                          </w:rPr>
                        </w:pPr>
                      </w:p>
                      <w:tbl>
                        <w:tblPr>
                          <w:tblW w:w="5000" w:type="pct"/>
                          <w:tblCellMar>
                            <w:left w:w="0" w:type="dxa"/>
                            <w:right w:w="0" w:type="dxa"/>
                          </w:tblCellMar>
                          <w:tblLook w:val="04A0" w:firstRow="1" w:lastRow="0" w:firstColumn="1" w:lastColumn="0" w:noHBand="0" w:noVBand="1"/>
                        </w:tblPr>
                        <w:tblGrid>
                          <w:gridCol w:w="10198"/>
                        </w:tblGrid>
                        <w:tr w:rsidR="00EB345E" w14:paraId="7F2EA7EC"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EB345E" w14:paraId="520388E7" w14:textId="77777777">
                                <w:tc>
                                  <w:tcPr>
                                    <w:tcW w:w="0" w:type="auto"/>
                                    <w:vAlign w:val="center"/>
                                    <w:hideMark/>
                                  </w:tcPr>
                                  <w:p w14:paraId="42264A77" w14:textId="77777777" w:rsidR="00EB345E" w:rsidRDefault="00EB345E"/>
                                </w:tc>
                              </w:tr>
                            </w:tbl>
                            <w:p w14:paraId="6CA7DF4E" w14:textId="77777777" w:rsidR="00EB345E" w:rsidRDefault="00EB345E"/>
                          </w:tc>
                        </w:tr>
                      </w:tbl>
                      <w:p w14:paraId="3BECFADA" w14:textId="77777777" w:rsidR="00EB345E" w:rsidRDefault="00EB345E">
                        <w:pPr>
                          <w:rPr>
                            <w:vanish/>
                          </w:rPr>
                        </w:pPr>
                      </w:p>
                      <w:tbl>
                        <w:tblPr>
                          <w:tblW w:w="5000" w:type="pct"/>
                          <w:tblCellMar>
                            <w:left w:w="0" w:type="dxa"/>
                            <w:right w:w="0" w:type="dxa"/>
                          </w:tblCellMar>
                          <w:tblLook w:val="04A0" w:firstRow="1" w:lastRow="0" w:firstColumn="1" w:lastColumn="0" w:noHBand="0" w:noVBand="1"/>
                        </w:tblPr>
                        <w:tblGrid>
                          <w:gridCol w:w="10198"/>
                        </w:tblGrid>
                        <w:tr w:rsidR="00EB345E" w14:paraId="6A73D00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EB345E" w14:paraId="28FE3499"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EB345E" w14:paraId="2FEECE4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EB345E" w14:paraId="67150D8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EB345E" w14:paraId="269F517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EB345E" w14:paraId="41E6DDBD" w14:textId="77777777">
                                                        <w:tc>
                                                          <w:tcPr>
                                                            <w:tcW w:w="0" w:type="auto"/>
                                                            <w:hideMark/>
                                                          </w:tcPr>
                                                          <w:p w14:paraId="0D604940" w14:textId="77777777" w:rsidR="00EB345E" w:rsidRDefault="00EB345E">
                                                            <w:r>
                                                              <w:rPr>
                                                                <w:rStyle w:val="Emphasis"/>
                                                                <w:rFonts w:ascii="Helvetica Neue" w:hAnsi="Helvetica Neue"/>
                                                                <w:sz w:val="17"/>
                                                                <w:szCs w:val="17"/>
                                                              </w:rPr>
                                                              <w:t>These articles were selected by Ian Lincoln, President of AIIA NSW since 2017. Ian was in the Department of Foreign Affairs for 33 years including postings in Asia, Africa, Europe and the Pacific. He was later an appellate member of the Refugee Review Tribunal and has worked in a number of community organisations.</w:t>
                                                            </w:r>
                                                          </w:p>
                                                        </w:tc>
                                                      </w:tr>
                                                    </w:tbl>
                                                    <w:p w14:paraId="50D56C0F" w14:textId="77777777" w:rsidR="00EB345E" w:rsidRDefault="00EB345E"/>
                                                  </w:tc>
                                                </w:tr>
                                              </w:tbl>
                                              <w:p w14:paraId="49053026" w14:textId="77777777" w:rsidR="00EB345E" w:rsidRDefault="00EB345E"/>
                                            </w:tc>
                                          </w:tr>
                                        </w:tbl>
                                        <w:p w14:paraId="2DB5BBB5" w14:textId="77777777" w:rsidR="00EB345E" w:rsidRDefault="00EB345E"/>
                                      </w:tc>
                                    </w:tr>
                                  </w:tbl>
                                  <w:p w14:paraId="776CEE48" w14:textId="77777777" w:rsidR="00EB345E" w:rsidRDefault="00EB345E">
                                    <w:pPr>
                                      <w:spacing w:line="360" w:lineRule="atLeast"/>
                                      <w:rPr>
                                        <w:rFonts w:ascii="Verdana" w:hAnsi="Verdana"/>
                                        <w:color w:val="000000"/>
                                      </w:rPr>
                                    </w:pPr>
                                  </w:p>
                                </w:tc>
                              </w:tr>
                            </w:tbl>
                            <w:p w14:paraId="3B348F8C" w14:textId="77777777" w:rsidR="00EB345E" w:rsidRDefault="00EB345E"/>
                          </w:tc>
                        </w:tr>
                      </w:tbl>
                      <w:p w14:paraId="78000157" w14:textId="77777777" w:rsidR="00EB345E" w:rsidRDefault="00EB345E">
                        <w:pPr>
                          <w:rPr>
                            <w:vanish/>
                          </w:rPr>
                        </w:pPr>
                      </w:p>
                      <w:tbl>
                        <w:tblPr>
                          <w:tblW w:w="5000" w:type="pct"/>
                          <w:tblCellMar>
                            <w:left w:w="0" w:type="dxa"/>
                            <w:right w:w="0" w:type="dxa"/>
                          </w:tblCellMar>
                          <w:tblLook w:val="04A0" w:firstRow="1" w:lastRow="0" w:firstColumn="1" w:lastColumn="0" w:noHBand="0" w:noVBand="1"/>
                        </w:tblPr>
                        <w:tblGrid>
                          <w:gridCol w:w="10198"/>
                        </w:tblGrid>
                        <w:tr w:rsidR="00EB345E" w14:paraId="04344C57"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EB345E" w14:paraId="4913C09A" w14:textId="77777777">
                                <w:tc>
                                  <w:tcPr>
                                    <w:tcW w:w="0" w:type="auto"/>
                                    <w:vAlign w:val="center"/>
                                    <w:hideMark/>
                                  </w:tcPr>
                                  <w:p w14:paraId="33406948" w14:textId="77777777" w:rsidR="00EB345E" w:rsidRDefault="00EB345E"/>
                                </w:tc>
                              </w:tr>
                            </w:tbl>
                            <w:p w14:paraId="15D0BECC" w14:textId="77777777" w:rsidR="00EB345E" w:rsidRDefault="00EB345E"/>
                          </w:tc>
                        </w:tr>
                      </w:tbl>
                      <w:p w14:paraId="656149DE" w14:textId="77777777" w:rsidR="00EB345E" w:rsidRDefault="00EB345E">
                        <w:pPr>
                          <w:rPr>
                            <w:vanish/>
                          </w:rPr>
                        </w:pPr>
                      </w:p>
                      <w:tbl>
                        <w:tblPr>
                          <w:tblW w:w="5000" w:type="pct"/>
                          <w:tblCellMar>
                            <w:left w:w="0" w:type="dxa"/>
                            <w:right w:w="0" w:type="dxa"/>
                          </w:tblCellMar>
                          <w:tblLook w:val="04A0" w:firstRow="1" w:lastRow="0" w:firstColumn="1" w:lastColumn="0" w:noHBand="0" w:noVBand="1"/>
                        </w:tblPr>
                        <w:tblGrid>
                          <w:gridCol w:w="10198"/>
                        </w:tblGrid>
                        <w:tr w:rsidR="00EB345E" w14:paraId="7356B38F"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EB345E" w14:paraId="152A6C05"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5284"/>
                                    </w:tblGrid>
                                    <w:tr w:rsidR="00EB345E" w14:paraId="3BDD078F" w14:textId="77777777">
                                      <w:tc>
                                        <w:tcPr>
                                          <w:tcW w:w="0" w:type="auto"/>
                                          <w:hideMark/>
                                        </w:tcPr>
                                        <w:p w14:paraId="605BC68D" w14:textId="0F484069" w:rsidR="00EB345E" w:rsidRDefault="00EB345E">
                                          <w:r>
                                            <w:lastRenderedPageBreak/>
                                            <w:fldChar w:fldCharType="begin"/>
                                          </w:r>
                                          <w:r>
                                            <w:instrText xml:space="preserve"> INCLUDEPICTURE "https://mcusercontent.com/0e9feb1606f1b4129a8b65828/images/2e048060-6768-465d-ac45-3b16df8c7b05.jpg" \* MERGEFORMATINET </w:instrText>
                                          </w:r>
                                          <w:r>
                                            <w:fldChar w:fldCharType="separate"/>
                                          </w:r>
                                          <w:r>
                                            <w:rPr>
                                              <w:noProof/>
                                            </w:rPr>
                                            <w:drawing>
                                              <wp:inline distT="0" distB="0" distL="0" distR="0" wp14:anchorId="27D797CE" wp14:editId="74558124">
                                                <wp:extent cx="3355340" cy="5024755"/>
                                                <wp:effectExtent l="0" t="0" r="0" b="4445"/>
                                                <wp:docPr id="4" name="Picture 4" descr="A picture containing person, baseball, outdoor, pla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baseball, outdoor, play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5340" cy="5024755"/>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EB345E" w14:paraId="733AB3EF" w14:textId="77777777">
                                      <w:tc>
                                        <w:tcPr>
                                          <w:tcW w:w="0" w:type="auto"/>
                                          <w:hideMark/>
                                        </w:tcPr>
                                        <w:p w14:paraId="2977C7DA" w14:textId="77777777" w:rsidR="00EB345E" w:rsidRDefault="00EB345E">
                                          <w:pPr>
                                            <w:pStyle w:val="NormalWeb"/>
                                            <w:spacing w:before="150" w:beforeAutospacing="0" w:after="150" w:afterAutospacing="0" w:line="300" w:lineRule="atLeast"/>
                                            <w:rPr>
                                              <w:rFonts w:ascii="Verdana" w:hAnsi="Verdana"/>
                                              <w:color w:val="000000"/>
                                            </w:rPr>
                                          </w:pPr>
                                          <w:hyperlink r:id="rId13" w:tgtFrame="_blank" w:history="1">
                                            <w:r>
                                              <w:rPr>
                                                <w:rStyle w:val="Hyperlink"/>
                                                <w:rFonts w:ascii="Helvetica Neue" w:hAnsi="Helvetica Neue"/>
                                                <w:b/>
                                                <w:bCs/>
                                                <w:color w:val="4B6AA2"/>
                                                <w:sz w:val="30"/>
                                                <w:szCs w:val="30"/>
                                              </w:rPr>
                                              <w:t>Australia-South Korea defence industry collaboration</w:t>
                                            </w:r>
                                          </w:hyperlink>
                                          <w:r>
                                            <w:rPr>
                                              <w:rFonts w:ascii="Verdana" w:hAnsi="Verdana"/>
                                              <w:color w:val="000000"/>
                                            </w:rPr>
                                            <w:br/>
                                          </w:r>
                                          <w:r>
                                            <w:rPr>
                                              <w:rFonts w:ascii="Verdana" w:hAnsi="Verdana"/>
                                              <w:color w:val="000000"/>
                                            </w:rPr>
                                            <w:br/>
                                          </w:r>
                                          <w:r>
                                            <w:rPr>
                                              <w:rFonts w:ascii="Helvetica Neue" w:hAnsi="Helvetica Neue"/>
                                              <w:color w:val="000000"/>
                                              <w:sz w:val="18"/>
                                              <w:szCs w:val="18"/>
                                            </w:rPr>
                                            <w:t>Defence industry cooperation between South Korea and Australia was first mooted in 2005 but has languished until recently. In </w:t>
                                          </w:r>
                                          <w:r>
                                            <w:rPr>
                                              <w:rStyle w:val="Emphasis"/>
                                              <w:rFonts w:ascii="Helvetica Neue" w:hAnsi="Helvetica Neue"/>
                                              <w:color w:val="000000"/>
                                              <w:sz w:val="18"/>
                                              <w:szCs w:val="18"/>
                                            </w:rPr>
                                            <w:t>The Diplomat</w:t>
                                          </w:r>
                                          <w:r>
                                            <w:rPr>
                                              <w:rFonts w:ascii="Helvetica Neue" w:hAnsi="Helvetica Neue"/>
                                              <w:color w:val="000000"/>
                                              <w:sz w:val="18"/>
                                              <w:szCs w:val="18"/>
                                            </w:rPr>
                                            <w:t xml:space="preserve">, Tom </w:t>
                                          </w:r>
                                          <w:proofErr w:type="spellStart"/>
                                          <w:r>
                                            <w:rPr>
                                              <w:rFonts w:ascii="Helvetica Neue" w:hAnsi="Helvetica Neue"/>
                                              <w:color w:val="000000"/>
                                              <w:sz w:val="18"/>
                                              <w:szCs w:val="18"/>
                                            </w:rPr>
                                            <w:t>Corben</w:t>
                                          </w:r>
                                          <w:proofErr w:type="spellEnd"/>
                                          <w:r>
                                            <w:rPr>
                                              <w:rFonts w:ascii="Helvetica Neue" w:hAnsi="Helvetica Neue"/>
                                              <w:color w:val="000000"/>
                                              <w:sz w:val="18"/>
                                              <w:szCs w:val="18"/>
                                            </w:rPr>
                                            <w:t> </w:t>
                                          </w:r>
                                          <w:hyperlink r:id="rId14" w:tgtFrame="_blank" w:history="1">
                                            <w:r>
                                              <w:rPr>
                                                <w:rStyle w:val="Hyperlink"/>
                                                <w:rFonts w:ascii="Helvetica Neue" w:hAnsi="Helvetica Neue"/>
                                                <w:b/>
                                                <w:bCs/>
                                                <w:color w:val="4C6AA2"/>
                                                <w:sz w:val="18"/>
                                                <w:szCs w:val="18"/>
                                              </w:rPr>
                                              <w:t>argues</w:t>
                                            </w:r>
                                          </w:hyperlink>
                                          <w:r>
                                            <w:rPr>
                                              <w:rFonts w:ascii="Helvetica Neue" w:hAnsi="Helvetica Neue"/>
                                              <w:color w:val="000000"/>
                                              <w:sz w:val="18"/>
                                              <w:szCs w:val="18"/>
                                            </w:rPr>
                                            <w:t> that there are several factors, including a shared strategic outlook, that suggest a wider range of collaboration is necessary in areas ranging from autonomous vehicles to communications and surveillance systems. One potential area of collaboration is on developing a future nuclear propelled submarine. Seoul has extensive experience in nuclear energy, having played a key role in delivering the first nuclear power stations to the United Arab Emirates, and has recently announced a </w:t>
                                          </w:r>
                                          <w:hyperlink r:id="rId15" w:anchor=".X3mbdGgzbIU" w:tgtFrame="_blank" w:history="1">
                                            <w:r>
                                              <w:rPr>
                                                <w:rStyle w:val="Hyperlink"/>
                                                <w:rFonts w:ascii="Helvetica Neue" w:hAnsi="Helvetica Neue"/>
                                                <w:b/>
                                                <w:bCs/>
                                                <w:color w:val="4C6AA2"/>
                                                <w:sz w:val="18"/>
                                                <w:szCs w:val="18"/>
                                              </w:rPr>
                                              <w:t>formal commitment</w:t>
                                            </w:r>
                                          </w:hyperlink>
                                          <w:r>
                                            <w:rPr>
                                              <w:rFonts w:ascii="Helvetica Neue" w:hAnsi="Helvetica Neue"/>
                                              <w:color w:val="000000"/>
                                              <w:sz w:val="18"/>
                                              <w:szCs w:val="18"/>
                                            </w:rPr>
                                            <w:t> to developing its own class of nuclear propelled submarine.</w:t>
                                          </w:r>
                                          <w:r>
                                            <w:rPr>
                                              <w:rFonts w:ascii="Verdana" w:hAnsi="Verdana"/>
                                              <w:color w:val="000000"/>
                                            </w:rPr>
                                            <w:br/>
                                          </w:r>
                                          <w:r>
                                            <w:rPr>
                                              <w:rFonts w:ascii="Helvetica Neue" w:hAnsi="Helvetica Neue"/>
                                              <w:color w:val="000000"/>
                                              <w:sz w:val="15"/>
                                              <w:szCs w:val="15"/>
                                            </w:rPr>
                                            <w:t>Image credit: </w:t>
                                          </w:r>
                                          <w:hyperlink r:id="rId16" w:tgtFrame="_blank" w:history="1">
                                            <w:r>
                                              <w:rPr>
                                                <w:rStyle w:val="Hyperlink"/>
                                                <w:rFonts w:ascii="Helvetica Neue" w:hAnsi="Helvetica Neue"/>
                                                <w:b/>
                                                <w:bCs/>
                                                <w:color w:val="4C6AA2"/>
                                                <w:sz w:val="15"/>
                                                <w:szCs w:val="15"/>
                                              </w:rPr>
                                              <w:t>Morning Calm Weekly Newspaper Installation Management Command, U.S. Army</w:t>
                                            </w:r>
                                          </w:hyperlink>
                                        </w:p>
                                      </w:tc>
                                    </w:tr>
                                  </w:tbl>
                                  <w:p w14:paraId="2E15CB71" w14:textId="77777777" w:rsidR="00EB345E" w:rsidRDefault="00EB345E">
                                    <w:pPr>
                                      <w:rPr>
                                        <w:rFonts w:ascii="Times New Roman" w:hAnsi="Times New Roman"/>
                                      </w:rPr>
                                    </w:pPr>
                                  </w:p>
                                </w:tc>
                              </w:tr>
                            </w:tbl>
                            <w:p w14:paraId="177EB79D" w14:textId="77777777" w:rsidR="00EB345E" w:rsidRDefault="00EB345E"/>
                          </w:tc>
                        </w:tr>
                      </w:tbl>
                      <w:p w14:paraId="6033779F" w14:textId="77777777" w:rsidR="00EB345E" w:rsidRDefault="00EB345E">
                        <w:pPr>
                          <w:rPr>
                            <w:vanish/>
                          </w:rPr>
                        </w:pPr>
                      </w:p>
                      <w:tbl>
                        <w:tblPr>
                          <w:tblW w:w="5000" w:type="pct"/>
                          <w:tblCellMar>
                            <w:left w:w="0" w:type="dxa"/>
                            <w:right w:w="0" w:type="dxa"/>
                          </w:tblCellMar>
                          <w:tblLook w:val="04A0" w:firstRow="1" w:lastRow="0" w:firstColumn="1" w:lastColumn="0" w:noHBand="0" w:noVBand="1"/>
                        </w:tblPr>
                        <w:tblGrid>
                          <w:gridCol w:w="10198"/>
                        </w:tblGrid>
                        <w:tr w:rsidR="00EB345E" w14:paraId="199567B8"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EB345E" w14:paraId="3DE5F9E3" w14:textId="77777777">
                                <w:tc>
                                  <w:tcPr>
                                    <w:tcW w:w="0" w:type="auto"/>
                                    <w:vAlign w:val="center"/>
                                    <w:hideMark/>
                                  </w:tcPr>
                                  <w:p w14:paraId="31810693" w14:textId="77777777" w:rsidR="00EB345E" w:rsidRDefault="00EB345E"/>
                                </w:tc>
                              </w:tr>
                            </w:tbl>
                            <w:p w14:paraId="3AB0540E" w14:textId="77777777" w:rsidR="00EB345E" w:rsidRDefault="00EB345E"/>
                          </w:tc>
                        </w:tr>
                      </w:tbl>
                      <w:p w14:paraId="13B8AE07" w14:textId="77777777" w:rsidR="00EB345E" w:rsidRDefault="00EB345E">
                        <w:pPr>
                          <w:rPr>
                            <w:vanish/>
                          </w:rPr>
                        </w:pPr>
                      </w:p>
                      <w:tbl>
                        <w:tblPr>
                          <w:tblW w:w="5000" w:type="pct"/>
                          <w:tblCellMar>
                            <w:left w:w="0" w:type="dxa"/>
                            <w:right w:w="0" w:type="dxa"/>
                          </w:tblCellMar>
                          <w:tblLook w:val="04A0" w:firstRow="1" w:lastRow="0" w:firstColumn="1" w:lastColumn="0" w:noHBand="0" w:noVBand="1"/>
                        </w:tblPr>
                        <w:tblGrid>
                          <w:gridCol w:w="10198"/>
                        </w:tblGrid>
                        <w:tr w:rsidR="00EB345E" w14:paraId="69100C6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EB345E" w14:paraId="1ED51D12" w14:textId="77777777">
                                <w:tc>
                                  <w:tcPr>
                                    <w:tcW w:w="0" w:type="auto"/>
                                    <w:tcMar>
                                      <w:top w:w="0" w:type="dxa"/>
                                      <w:left w:w="270" w:type="dxa"/>
                                      <w:bottom w:w="135" w:type="dxa"/>
                                      <w:right w:w="270" w:type="dxa"/>
                                    </w:tcMar>
                                    <w:hideMark/>
                                  </w:tcPr>
                                  <w:p w14:paraId="2EF8EE27" w14:textId="77777777" w:rsidR="00EB345E" w:rsidRDefault="00EB345E">
                                    <w:pPr>
                                      <w:spacing w:line="360" w:lineRule="atLeast"/>
                                      <w:rPr>
                                        <w:rFonts w:ascii="Verdana" w:hAnsi="Verdana"/>
                                        <w:color w:val="000000"/>
                                      </w:rPr>
                                    </w:pPr>
                                    <w:r>
                                      <w:rPr>
                                        <w:rStyle w:val="Emphasis"/>
                                        <w:rFonts w:ascii="Helvetica Neue" w:hAnsi="Helvetica Neue"/>
                                        <w:color w:val="000000"/>
                                        <w:sz w:val="17"/>
                                        <w:szCs w:val="17"/>
                                      </w:rPr>
                                      <w:t>This article was selected by Chris Skinner. Chris served thirty years in the Royal Australian Navy in warships that participated in the South East Asian Treaty Organisation, the Vietnam War and surveillance of the North-West Indian Ocean. He joined the AIIA NSW Council in 2019.</w:t>
                                    </w:r>
                                  </w:p>
                                </w:tc>
                              </w:tr>
                            </w:tbl>
                            <w:p w14:paraId="70C8F947" w14:textId="77777777" w:rsidR="00EB345E" w:rsidRDefault="00EB345E">
                              <w:pPr>
                                <w:rPr>
                                  <w:rFonts w:ascii="Times New Roman" w:hAnsi="Times New Roman"/>
                                </w:rPr>
                              </w:pPr>
                            </w:p>
                          </w:tc>
                        </w:tr>
                      </w:tbl>
                      <w:p w14:paraId="27B8D61D" w14:textId="77777777" w:rsidR="00EB345E" w:rsidRDefault="00EB345E">
                        <w:pPr>
                          <w:rPr>
                            <w:vanish/>
                          </w:rPr>
                        </w:pPr>
                      </w:p>
                      <w:tbl>
                        <w:tblPr>
                          <w:tblW w:w="5000" w:type="pct"/>
                          <w:tblCellMar>
                            <w:left w:w="0" w:type="dxa"/>
                            <w:right w:w="0" w:type="dxa"/>
                          </w:tblCellMar>
                          <w:tblLook w:val="04A0" w:firstRow="1" w:lastRow="0" w:firstColumn="1" w:lastColumn="0" w:noHBand="0" w:noVBand="1"/>
                        </w:tblPr>
                        <w:tblGrid>
                          <w:gridCol w:w="10198"/>
                        </w:tblGrid>
                        <w:tr w:rsidR="00EB345E" w14:paraId="33782C0A"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EB345E" w14:paraId="4963B868" w14:textId="77777777">
                                <w:tc>
                                  <w:tcPr>
                                    <w:tcW w:w="0" w:type="auto"/>
                                    <w:vAlign w:val="center"/>
                                    <w:hideMark/>
                                  </w:tcPr>
                                  <w:p w14:paraId="78FAD253" w14:textId="77777777" w:rsidR="00EB345E" w:rsidRDefault="00EB345E"/>
                                </w:tc>
                              </w:tr>
                            </w:tbl>
                            <w:p w14:paraId="11A64A2C" w14:textId="77777777" w:rsidR="00EB345E" w:rsidRDefault="00EB345E"/>
                          </w:tc>
                        </w:tr>
                      </w:tbl>
                      <w:p w14:paraId="243E3C00" w14:textId="77777777" w:rsidR="00EB345E" w:rsidRDefault="00EB345E">
                        <w:pPr>
                          <w:rPr>
                            <w:vanish/>
                          </w:rPr>
                        </w:pPr>
                      </w:p>
                      <w:tbl>
                        <w:tblPr>
                          <w:tblW w:w="5000" w:type="pct"/>
                          <w:tblCellMar>
                            <w:left w:w="0" w:type="dxa"/>
                            <w:right w:w="0" w:type="dxa"/>
                          </w:tblCellMar>
                          <w:tblLook w:val="04A0" w:firstRow="1" w:lastRow="0" w:firstColumn="1" w:lastColumn="0" w:noHBand="0" w:noVBand="1"/>
                        </w:tblPr>
                        <w:tblGrid>
                          <w:gridCol w:w="10198"/>
                        </w:tblGrid>
                        <w:tr w:rsidR="00EB345E" w14:paraId="50DBD81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EB345E" w14:paraId="6463C2BD"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4"/>
                                    </w:tblGrid>
                                    <w:tr w:rsidR="00EB345E" w14:paraId="7CA25B0D" w14:textId="77777777">
                                      <w:tc>
                                        <w:tcPr>
                                          <w:tcW w:w="0" w:type="auto"/>
                                          <w:hideMark/>
                                        </w:tcPr>
                                        <w:p w14:paraId="0290809B" w14:textId="50E9A24F" w:rsidR="00EB345E" w:rsidRDefault="00EB345E">
                                          <w:r>
                                            <w:lastRenderedPageBreak/>
                                            <w:fldChar w:fldCharType="begin"/>
                                          </w:r>
                                          <w:r>
                                            <w:instrText xml:space="preserve"> INCLUDEPICTURE "https://mcusercontent.com/0e9feb1606f1b4129a8b65828/images/ea7029b1-ebf3-4fae-8f32-caf94af8544d.jpg" \* MERGEFORMATINET </w:instrText>
                                          </w:r>
                                          <w:r>
                                            <w:fldChar w:fldCharType="separate"/>
                                          </w:r>
                                          <w:r>
                                            <w:rPr>
                                              <w:noProof/>
                                            </w:rPr>
                                            <w:drawing>
                                              <wp:inline distT="0" distB="0" distL="0" distR="0" wp14:anchorId="14E76FDD" wp14:editId="6D4A27E6">
                                                <wp:extent cx="3355340" cy="5109210"/>
                                                <wp:effectExtent l="0" t="0" r="0" b="0"/>
                                                <wp:docPr id="3" name="Picture 3" descr="A picture containing grass, outdoor, mountain,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ss, outdoor, mountain, fenc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5340" cy="5109210"/>
                                                        </a:xfrm>
                                                        <a:prstGeom prst="rect">
                                                          <a:avLst/>
                                                        </a:prstGeom>
                                                        <a:noFill/>
                                                        <a:ln>
                                                          <a:noFill/>
                                                        </a:ln>
                                                      </pic:spPr>
                                                    </pic:pic>
                                                  </a:graphicData>
                                                </a:graphic>
                                              </wp:inline>
                                            </w:drawing>
                                          </w:r>
                                          <w: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EB345E" w14:paraId="419DD31A" w14:textId="77777777">
                                      <w:tc>
                                        <w:tcPr>
                                          <w:tcW w:w="0" w:type="auto"/>
                                          <w:hideMark/>
                                        </w:tcPr>
                                        <w:p w14:paraId="7B8BEA06" w14:textId="77777777" w:rsidR="00EB345E" w:rsidRDefault="00EB345E">
                                          <w:pPr>
                                            <w:pStyle w:val="NormalWeb"/>
                                            <w:spacing w:before="150" w:beforeAutospacing="0" w:after="150" w:afterAutospacing="0" w:line="300" w:lineRule="atLeast"/>
                                            <w:rPr>
                                              <w:rFonts w:ascii="Verdana" w:hAnsi="Verdana"/>
                                              <w:color w:val="000000"/>
                                            </w:rPr>
                                          </w:pPr>
                                          <w:hyperlink r:id="rId18" w:tgtFrame="_blank" w:history="1">
                                            <w:r>
                                              <w:rPr>
                                                <w:rStyle w:val="Hyperlink"/>
                                                <w:rFonts w:ascii="Helvetica Neue" w:hAnsi="Helvetica Neue"/>
                                                <w:b/>
                                                <w:bCs/>
                                                <w:color w:val="4B6AA2"/>
                                                <w:sz w:val="30"/>
                                                <w:szCs w:val="30"/>
                                              </w:rPr>
                                              <w:t>English Pastoral: An Inheritance</w:t>
                                            </w:r>
                                          </w:hyperlink>
                                          <w:r>
                                            <w:rPr>
                                              <w:rFonts w:ascii="Verdana" w:hAnsi="Verdana"/>
                                              <w:color w:val="000000"/>
                                            </w:rPr>
                                            <w:br/>
                                          </w:r>
                                          <w:r>
                                            <w:rPr>
                                              <w:rFonts w:ascii="Verdana" w:hAnsi="Verdana"/>
                                              <w:color w:val="000000"/>
                                              <w:sz w:val="17"/>
                                              <w:szCs w:val="17"/>
                                            </w:rPr>
                                            <w:t> </w:t>
                                          </w:r>
                                          <w:r>
                                            <w:rPr>
                                              <w:rFonts w:ascii="Verdana" w:hAnsi="Verdana"/>
                                              <w:color w:val="000000"/>
                                            </w:rPr>
                                            <w:br/>
                                          </w:r>
                                          <w:r>
                                            <w:rPr>
                                              <w:rFonts w:ascii="Helvetica Neue" w:hAnsi="Helvetica Neue"/>
                                              <w:color w:val="000000"/>
                                              <w:sz w:val="18"/>
                                              <w:szCs w:val="18"/>
                                            </w:rPr>
                                            <w:t xml:space="preserve">Discussions about the future of agriculture and the food industry tend to focus on either how to feed the rapidly expanding global population or on the need to preserve the environment and natural resources. The voice of the farmer is rarely heard, but these are the people who have to find practicable solutions to achieving both of these legitimate goals. James </w:t>
                                          </w:r>
                                          <w:proofErr w:type="spellStart"/>
                                          <w:r>
                                            <w:rPr>
                                              <w:rFonts w:ascii="Helvetica Neue" w:hAnsi="Helvetica Neue"/>
                                              <w:color w:val="000000"/>
                                              <w:sz w:val="18"/>
                                              <w:szCs w:val="18"/>
                                            </w:rPr>
                                            <w:t>Rebanks</w:t>
                                          </w:r>
                                          <w:proofErr w:type="spellEnd"/>
                                          <w:r>
                                            <w:rPr>
                                              <w:rFonts w:ascii="Helvetica Neue" w:hAnsi="Helvetica Neue"/>
                                              <w:color w:val="000000"/>
                                              <w:sz w:val="18"/>
                                              <w:szCs w:val="18"/>
                                            </w:rPr>
                                            <w:t xml:space="preserve"> is one of a rare </w:t>
                                          </w:r>
                                          <w:proofErr w:type="gramStart"/>
                                          <w:r>
                                            <w:rPr>
                                              <w:rFonts w:ascii="Helvetica Neue" w:hAnsi="Helvetica Neue"/>
                                              <w:color w:val="000000"/>
                                              <w:sz w:val="18"/>
                                              <w:szCs w:val="18"/>
                                            </w:rPr>
                                            <w:t>breed</w:t>
                                          </w:r>
                                          <w:proofErr w:type="gramEnd"/>
                                          <w:r>
                                            <w:rPr>
                                              <w:rFonts w:ascii="Helvetica Neue" w:hAnsi="Helvetica Neue"/>
                                              <w:color w:val="000000"/>
                                              <w:sz w:val="18"/>
                                              <w:szCs w:val="18"/>
                                            </w:rPr>
                                            <w:t xml:space="preserve"> of farmers who write movingly and poetically about this day-to-day struggle and the challenges of balancing production with sustainability. The book </w:t>
                                          </w:r>
                                          <w:hyperlink r:id="rId19" w:tgtFrame="_blank" w:history="1">
                                            <w:r>
                                              <w:rPr>
                                                <w:rStyle w:val="Emphasis"/>
                                                <w:rFonts w:ascii="Helvetica Neue" w:hAnsi="Helvetica Neue"/>
                                                <w:b/>
                                                <w:bCs/>
                                                <w:color w:val="4C6AA2"/>
                                                <w:sz w:val="18"/>
                                                <w:szCs w:val="18"/>
                                              </w:rPr>
                                              <w:t>English Pastoral</w:t>
                                            </w:r>
                                          </w:hyperlink>
                                          <w:r>
                                            <w:rPr>
                                              <w:rFonts w:ascii="Helvetica Neue" w:hAnsi="Helvetica Neue"/>
                                              <w:color w:val="000000"/>
                                              <w:sz w:val="18"/>
                                              <w:szCs w:val="18"/>
                                            </w:rPr>
                                            <w:t>, published by Penguin, is the story of his family and their farm in the English Lake District, which in just three generations has changed beyond recognition.</w:t>
                                          </w:r>
                                          <w:r>
                                            <w:rPr>
                                              <w:rFonts w:ascii="Verdana" w:hAnsi="Verdana"/>
                                              <w:color w:val="000000"/>
                                            </w:rPr>
                                            <w:br/>
                                          </w:r>
                                          <w:r>
                                            <w:rPr>
                                              <w:rFonts w:ascii="Helvetica Neue" w:hAnsi="Helvetica Neue"/>
                                              <w:color w:val="000000"/>
                                              <w:sz w:val="15"/>
                                              <w:szCs w:val="15"/>
                                            </w:rPr>
                                            <w:t>Image credit: </w:t>
                                          </w:r>
                                          <w:hyperlink r:id="rId20" w:tgtFrame="_blank" w:history="1">
                                            <w:r>
                                              <w:rPr>
                                                <w:rStyle w:val="Hyperlink"/>
                                                <w:rFonts w:ascii="Helvetica Neue" w:hAnsi="Helvetica Neue"/>
                                                <w:b/>
                                                <w:bCs/>
                                                <w:color w:val="4C6AA2"/>
                                                <w:sz w:val="15"/>
                                                <w:szCs w:val="15"/>
                                              </w:rPr>
                                              <w:t>Robert J Heath</w:t>
                                            </w:r>
                                          </w:hyperlink>
                                        </w:p>
                                      </w:tc>
                                    </w:tr>
                                  </w:tbl>
                                  <w:p w14:paraId="5EB86E13" w14:textId="77777777" w:rsidR="00EB345E" w:rsidRDefault="00EB345E">
                                    <w:pPr>
                                      <w:rPr>
                                        <w:rFonts w:ascii="Times New Roman" w:hAnsi="Times New Roman"/>
                                      </w:rPr>
                                    </w:pPr>
                                  </w:p>
                                </w:tc>
                              </w:tr>
                            </w:tbl>
                            <w:p w14:paraId="6232C5D1" w14:textId="77777777" w:rsidR="00EB345E" w:rsidRDefault="00EB345E"/>
                          </w:tc>
                        </w:tr>
                      </w:tbl>
                      <w:p w14:paraId="1CFEADAC" w14:textId="77777777" w:rsidR="00EB345E" w:rsidRDefault="00EB345E">
                        <w:pPr>
                          <w:rPr>
                            <w:vanish/>
                          </w:rPr>
                        </w:pPr>
                      </w:p>
                      <w:tbl>
                        <w:tblPr>
                          <w:tblW w:w="5000" w:type="pct"/>
                          <w:tblCellMar>
                            <w:left w:w="0" w:type="dxa"/>
                            <w:right w:w="0" w:type="dxa"/>
                          </w:tblCellMar>
                          <w:tblLook w:val="04A0" w:firstRow="1" w:lastRow="0" w:firstColumn="1" w:lastColumn="0" w:noHBand="0" w:noVBand="1"/>
                        </w:tblPr>
                        <w:tblGrid>
                          <w:gridCol w:w="10198"/>
                        </w:tblGrid>
                        <w:tr w:rsidR="00EB345E" w14:paraId="6271EB2D"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EB345E" w14:paraId="0F4B6571" w14:textId="77777777">
                                <w:tc>
                                  <w:tcPr>
                                    <w:tcW w:w="0" w:type="auto"/>
                                    <w:vAlign w:val="center"/>
                                    <w:hideMark/>
                                  </w:tcPr>
                                  <w:p w14:paraId="715970DB" w14:textId="77777777" w:rsidR="00EB345E" w:rsidRDefault="00EB345E"/>
                                </w:tc>
                              </w:tr>
                            </w:tbl>
                            <w:p w14:paraId="5A7F5878" w14:textId="77777777" w:rsidR="00EB345E" w:rsidRDefault="00EB345E"/>
                          </w:tc>
                        </w:tr>
                      </w:tbl>
                      <w:p w14:paraId="475819A7" w14:textId="77777777" w:rsidR="00EB345E" w:rsidRDefault="00EB345E">
                        <w:pPr>
                          <w:rPr>
                            <w:vanish/>
                          </w:rPr>
                        </w:pPr>
                      </w:p>
                      <w:tbl>
                        <w:tblPr>
                          <w:tblW w:w="5000" w:type="pct"/>
                          <w:tblCellMar>
                            <w:left w:w="0" w:type="dxa"/>
                            <w:right w:w="0" w:type="dxa"/>
                          </w:tblCellMar>
                          <w:tblLook w:val="04A0" w:firstRow="1" w:lastRow="0" w:firstColumn="1" w:lastColumn="0" w:noHBand="0" w:noVBand="1"/>
                        </w:tblPr>
                        <w:tblGrid>
                          <w:gridCol w:w="10198"/>
                        </w:tblGrid>
                        <w:tr w:rsidR="00EB345E" w14:paraId="2A9C6AA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EB345E" w14:paraId="4EBA5744" w14:textId="77777777">
                                <w:tc>
                                  <w:tcPr>
                                    <w:tcW w:w="0" w:type="auto"/>
                                    <w:tcMar>
                                      <w:top w:w="0" w:type="dxa"/>
                                      <w:left w:w="270" w:type="dxa"/>
                                      <w:bottom w:w="135" w:type="dxa"/>
                                      <w:right w:w="270" w:type="dxa"/>
                                    </w:tcMar>
                                    <w:hideMark/>
                                  </w:tcPr>
                                  <w:p w14:paraId="19DD029F" w14:textId="77777777" w:rsidR="00EB345E" w:rsidRDefault="00EB345E">
                                    <w:pPr>
                                      <w:spacing w:line="360" w:lineRule="atLeast"/>
                                      <w:rPr>
                                        <w:rFonts w:ascii="Verdana" w:hAnsi="Verdana"/>
                                        <w:color w:val="000000"/>
                                      </w:rPr>
                                    </w:pPr>
                                    <w:r>
                                      <w:rPr>
                                        <w:rStyle w:val="Emphasis"/>
                                        <w:rFonts w:ascii="Helvetica Neue" w:hAnsi="Helvetica Neue"/>
                                        <w:color w:val="000000"/>
                                        <w:sz w:val="17"/>
                                        <w:szCs w:val="17"/>
                                      </w:rPr>
                                      <w:t>This book was selected by Jocelyn Chey AM. Jocelyn is an Adjunct Professor at the Australia-China Relations Institute, University of Technology Sydney, Visiting Professor at the University of Sydney and an Adjunct Professor at the Australia-China Institute for Arts and Culture at Western Sydney University. She was previously a senior officer in the Department of Foreign Affairs and Trade. Jocelyn is a Fellow of Australian Institute of International Affairs.</w:t>
                                    </w:r>
                                  </w:p>
                                </w:tc>
                              </w:tr>
                            </w:tbl>
                            <w:p w14:paraId="5DB2ACCF" w14:textId="77777777" w:rsidR="00EB345E" w:rsidRDefault="00EB345E">
                              <w:pPr>
                                <w:rPr>
                                  <w:rFonts w:ascii="Times New Roman" w:hAnsi="Times New Roman"/>
                                </w:rPr>
                              </w:pPr>
                            </w:p>
                          </w:tc>
                        </w:tr>
                      </w:tbl>
                      <w:p w14:paraId="4DB34568" w14:textId="77777777" w:rsidR="00EB345E" w:rsidRDefault="00EB345E">
                        <w:pPr>
                          <w:rPr>
                            <w:vanish/>
                          </w:rPr>
                        </w:pPr>
                      </w:p>
                      <w:tbl>
                        <w:tblPr>
                          <w:tblW w:w="5000" w:type="pct"/>
                          <w:tblCellMar>
                            <w:left w:w="0" w:type="dxa"/>
                            <w:right w:w="0" w:type="dxa"/>
                          </w:tblCellMar>
                          <w:tblLook w:val="04A0" w:firstRow="1" w:lastRow="0" w:firstColumn="1" w:lastColumn="0" w:noHBand="0" w:noVBand="1"/>
                        </w:tblPr>
                        <w:tblGrid>
                          <w:gridCol w:w="10198"/>
                        </w:tblGrid>
                        <w:tr w:rsidR="00EB345E" w14:paraId="60D9F1CD"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EB345E" w14:paraId="0199FCFA" w14:textId="77777777">
                                <w:tc>
                                  <w:tcPr>
                                    <w:tcW w:w="0" w:type="auto"/>
                                    <w:vAlign w:val="center"/>
                                    <w:hideMark/>
                                  </w:tcPr>
                                  <w:p w14:paraId="717A72FB" w14:textId="77777777" w:rsidR="00EB345E" w:rsidRDefault="00EB345E"/>
                                </w:tc>
                              </w:tr>
                            </w:tbl>
                            <w:p w14:paraId="0B8AA49E" w14:textId="77777777" w:rsidR="00EB345E" w:rsidRDefault="00EB345E"/>
                          </w:tc>
                        </w:tr>
                      </w:tbl>
                      <w:p w14:paraId="241E37DA" w14:textId="77777777" w:rsidR="00EB345E" w:rsidRDefault="00EB345E">
                        <w:pPr>
                          <w:rPr>
                            <w:vanish/>
                          </w:rPr>
                        </w:pPr>
                      </w:p>
                      <w:tbl>
                        <w:tblPr>
                          <w:tblW w:w="5000" w:type="pct"/>
                          <w:tblCellMar>
                            <w:left w:w="0" w:type="dxa"/>
                            <w:right w:w="0" w:type="dxa"/>
                          </w:tblCellMar>
                          <w:tblLook w:val="04A0" w:firstRow="1" w:lastRow="0" w:firstColumn="1" w:lastColumn="0" w:noHBand="0" w:noVBand="1"/>
                        </w:tblPr>
                        <w:tblGrid>
                          <w:gridCol w:w="10198"/>
                        </w:tblGrid>
                        <w:tr w:rsidR="00EB345E" w14:paraId="2690DEE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EB345E" w14:paraId="09EEBC9C"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EB345E" w14:paraId="6E5F19D0" w14:textId="77777777">
                                      <w:tc>
                                        <w:tcPr>
                                          <w:tcW w:w="0" w:type="auto"/>
                                          <w:shd w:val="clear" w:color="auto" w:fill="4B6AA2"/>
                                          <w:tcMar>
                                            <w:top w:w="270" w:type="dxa"/>
                                            <w:left w:w="270" w:type="dxa"/>
                                            <w:bottom w:w="270" w:type="dxa"/>
                                            <w:right w:w="270" w:type="dxa"/>
                                          </w:tcMar>
                                          <w:hideMark/>
                                        </w:tcPr>
                                        <w:p w14:paraId="3651776B" w14:textId="77777777" w:rsidR="00EB345E" w:rsidRDefault="00EB345E">
                                          <w:pPr>
                                            <w:spacing w:line="315" w:lineRule="atLeast"/>
                                            <w:jc w:val="center"/>
                                            <w:rPr>
                                              <w:rFonts w:ascii="Helvetica" w:hAnsi="Helvetica"/>
                                              <w:color w:val="F2F2F2"/>
                                              <w:sz w:val="21"/>
                                              <w:szCs w:val="21"/>
                                            </w:rPr>
                                          </w:pPr>
                                          <w:r>
                                            <w:rPr>
                                              <w:rStyle w:val="Strong"/>
                                              <w:rFonts w:ascii="Helvetica" w:hAnsi="Helvetica"/>
                                              <w:color w:val="F2F2F2"/>
                                              <w:sz w:val="36"/>
                                              <w:szCs w:val="36"/>
                                            </w:rPr>
                                            <w:t>From the Interns</w:t>
                                          </w:r>
                                        </w:p>
                                      </w:tc>
                                    </w:tr>
                                  </w:tbl>
                                  <w:p w14:paraId="516E2783" w14:textId="77777777" w:rsidR="00EB345E" w:rsidRDefault="00EB345E">
                                    <w:pPr>
                                      <w:rPr>
                                        <w:rFonts w:ascii="Times New Roman" w:hAnsi="Times New Roman"/>
                                      </w:rPr>
                                    </w:pPr>
                                  </w:p>
                                </w:tc>
                              </w:tr>
                            </w:tbl>
                            <w:p w14:paraId="26C6755B" w14:textId="77777777" w:rsidR="00EB345E" w:rsidRDefault="00EB345E"/>
                          </w:tc>
                        </w:tr>
                      </w:tbl>
                      <w:p w14:paraId="1EC327C5" w14:textId="77777777" w:rsidR="00EB345E" w:rsidRDefault="00EB345E">
                        <w:pPr>
                          <w:rPr>
                            <w:vanish/>
                          </w:rPr>
                        </w:pPr>
                      </w:p>
                      <w:tbl>
                        <w:tblPr>
                          <w:tblW w:w="5000" w:type="pct"/>
                          <w:tblCellMar>
                            <w:left w:w="0" w:type="dxa"/>
                            <w:right w:w="0" w:type="dxa"/>
                          </w:tblCellMar>
                          <w:tblLook w:val="04A0" w:firstRow="1" w:lastRow="0" w:firstColumn="1" w:lastColumn="0" w:noHBand="0" w:noVBand="1"/>
                        </w:tblPr>
                        <w:tblGrid>
                          <w:gridCol w:w="10198"/>
                        </w:tblGrid>
                        <w:tr w:rsidR="00EB345E" w14:paraId="6EFFB7A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EB345E" w14:paraId="14862D26" w14:textId="77777777">
                                <w:tc>
                                  <w:tcPr>
                                    <w:tcW w:w="0" w:type="auto"/>
                                    <w:tcMar>
                                      <w:top w:w="0" w:type="dxa"/>
                                      <w:left w:w="270" w:type="dxa"/>
                                      <w:bottom w:w="135" w:type="dxa"/>
                                      <w:right w:w="270" w:type="dxa"/>
                                    </w:tcMar>
                                    <w:hideMark/>
                                  </w:tcPr>
                                  <w:p w14:paraId="3FD975BA" w14:textId="77777777" w:rsidR="00EB345E" w:rsidRDefault="00EB345E">
                                    <w:pPr>
                                      <w:spacing w:line="360" w:lineRule="atLeast"/>
                                      <w:rPr>
                                        <w:rFonts w:ascii="Verdana" w:hAnsi="Verdana"/>
                                        <w:color w:val="222222"/>
                                      </w:rPr>
                                    </w:pPr>
                                    <w:r>
                                      <w:rPr>
                                        <w:rFonts w:ascii="Helvetica Neue" w:hAnsi="Helvetica Neue"/>
                                        <w:color w:val="222222"/>
                                        <w:sz w:val="18"/>
                                        <w:szCs w:val="18"/>
                                      </w:rPr>
                                      <w:t>In addition to our Councillors, we invite one of our interns to share with you what they have found insightful or interesting in the world of international affairs over the past week. This week, Marcus McCulloch explores continuing unrest in Belarus and an increasingly bleak outlook for Taiwanese sovereignty.</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lastRenderedPageBreak/>
                                      <w:t>Disclaimer: The views expressed below by interns are their own. The Australian Institute of International Affairs New South Wales does not take policy positions.</w:t>
                                    </w:r>
                                  </w:p>
                                </w:tc>
                              </w:tr>
                            </w:tbl>
                            <w:p w14:paraId="7A7ED6B4" w14:textId="77777777" w:rsidR="00EB345E" w:rsidRDefault="00EB345E">
                              <w:pPr>
                                <w:rPr>
                                  <w:rFonts w:ascii="Times New Roman" w:hAnsi="Times New Roman"/>
                                </w:rPr>
                              </w:pPr>
                            </w:p>
                          </w:tc>
                        </w:tr>
                      </w:tbl>
                      <w:p w14:paraId="6335F3C2" w14:textId="77777777" w:rsidR="00EB345E" w:rsidRDefault="00EB345E">
                        <w:pPr>
                          <w:rPr>
                            <w:vanish/>
                          </w:rPr>
                        </w:pPr>
                      </w:p>
                      <w:tbl>
                        <w:tblPr>
                          <w:tblW w:w="5000" w:type="pct"/>
                          <w:tblCellMar>
                            <w:left w:w="0" w:type="dxa"/>
                            <w:right w:w="0" w:type="dxa"/>
                          </w:tblCellMar>
                          <w:tblLook w:val="04A0" w:firstRow="1" w:lastRow="0" w:firstColumn="1" w:lastColumn="0" w:noHBand="0" w:noVBand="1"/>
                        </w:tblPr>
                        <w:tblGrid>
                          <w:gridCol w:w="10198"/>
                        </w:tblGrid>
                        <w:tr w:rsidR="00EB345E" w14:paraId="17EF1FD6"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EB345E" w14:paraId="3E31C1A5" w14:textId="77777777">
                                <w:tc>
                                  <w:tcPr>
                                    <w:tcW w:w="0" w:type="auto"/>
                                    <w:vAlign w:val="center"/>
                                    <w:hideMark/>
                                  </w:tcPr>
                                  <w:p w14:paraId="27D5552F" w14:textId="77777777" w:rsidR="00EB345E" w:rsidRDefault="00EB345E"/>
                                </w:tc>
                              </w:tr>
                            </w:tbl>
                            <w:p w14:paraId="15DE9B0E" w14:textId="77777777" w:rsidR="00EB345E" w:rsidRDefault="00EB345E"/>
                          </w:tc>
                        </w:tr>
                      </w:tbl>
                      <w:p w14:paraId="4BA50D9D" w14:textId="77777777" w:rsidR="00EB345E" w:rsidRDefault="00EB345E">
                        <w:pPr>
                          <w:rPr>
                            <w:vanish/>
                          </w:rPr>
                        </w:pPr>
                      </w:p>
                      <w:tbl>
                        <w:tblPr>
                          <w:tblW w:w="5000" w:type="pct"/>
                          <w:tblCellMar>
                            <w:left w:w="0" w:type="dxa"/>
                            <w:right w:w="0" w:type="dxa"/>
                          </w:tblCellMar>
                          <w:tblLook w:val="04A0" w:firstRow="1" w:lastRow="0" w:firstColumn="1" w:lastColumn="0" w:noHBand="0" w:noVBand="1"/>
                        </w:tblPr>
                        <w:tblGrid>
                          <w:gridCol w:w="10198"/>
                        </w:tblGrid>
                        <w:tr w:rsidR="00EB345E" w14:paraId="3D5CD116"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EB345E" w14:paraId="288C60D6"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5284"/>
                                    </w:tblGrid>
                                    <w:tr w:rsidR="00EB345E" w14:paraId="4F0F20F8" w14:textId="77777777">
                                      <w:tc>
                                        <w:tcPr>
                                          <w:tcW w:w="0" w:type="auto"/>
                                          <w:hideMark/>
                                        </w:tcPr>
                                        <w:p w14:paraId="160814B5" w14:textId="223EAFD7" w:rsidR="00EB345E" w:rsidRDefault="00EB345E">
                                          <w:pPr>
                                            <w:jc w:val="right"/>
                                          </w:pPr>
                                          <w:r>
                                            <w:fldChar w:fldCharType="begin"/>
                                          </w:r>
                                          <w:r>
                                            <w:instrText xml:space="preserve"> INCLUDEPICTURE "https://mcusercontent.com/0e9feb1606f1b4129a8b65828/images/c40c200b-6250-4da6-835e-99b016f4a84e.jpg" \* MERGEFORMATINET </w:instrText>
                                          </w:r>
                                          <w:r>
                                            <w:fldChar w:fldCharType="separate"/>
                                          </w:r>
                                          <w:r>
                                            <w:rPr>
                                              <w:noProof/>
                                            </w:rPr>
                                            <w:drawing>
                                              <wp:inline distT="0" distB="0" distL="0" distR="0" wp14:anchorId="0DBB2357" wp14:editId="0878ED92">
                                                <wp:extent cx="3355340" cy="5016500"/>
                                                <wp:effectExtent l="0" t="0" r="0" b="0"/>
                                                <wp:docPr id="2" name="Picture 2"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tanding in front of a building&#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55340" cy="5016500"/>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EB345E" w14:paraId="089B1EFD" w14:textId="77777777">
                                      <w:tc>
                                        <w:tcPr>
                                          <w:tcW w:w="0" w:type="auto"/>
                                          <w:hideMark/>
                                        </w:tcPr>
                                        <w:p w14:paraId="1270B34C" w14:textId="77777777" w:rsidR="00EB345E" w:rsidRDefault="00EB345E">
                                          <w:pPr>
                                            <w:pStyle w:val="NormalWeb"/>
                                            <w:spacing w:before="150" w:beforeAutospacing="0" w:after="150" w:afterAutospacing="0" w:line="300" w:lineRule="atLeast"/>
                                            <w:rPr>
                                              <w:rFonts w:ascii="Verdana" w:hAnsi="Verdana"/>
                                              <w:color w:val="222222"/>
                                            </w:rPr>
                                          </w:pPr>
                                          <w:hyperlink r:id="rId22" w:tgtFrame="_blank" w:history="1">
                                            <w:r>
                                              <w:rPr>
                                                <w:rStyle w:val="Hyperlink"/>
                                                <w:rFonts w:ascii="Helvetica Neue" w:hAnsi="Helvetica Neue"/>
                                                <w:b/>
                                                <w:bCs/>
                                                <w:color w:val="4C6AA2"/>
                                                <w:sz w:val="30"/>
                                                <w:szCs w:val="30"/>
                                              </w:rPr>
                                              <w:t>Lukashenka's talk offers could trap him or protesters</w:t>
                                            </w:r>
                                          </w:hyperlink>
                                          <w:r>
                                            <w:rPr>
                                              <w:rFonts w:ascii="Verdana" w:hAnsi="Verdana"/>
                                              <w:color w:val="222222"/>
                                            </w:rPr>
                                            <w:br/>
                                          </w:r>
                                          <w:r>
                                            <w:rPr>
                                              <w:rFonts w:ascii="Helvetica Neue" w:hAnsi="Helvetica Neue"/>
                                              <w:color w:val="222222"/>
                                              <w:sz w:val="18"/>
                                              <w:szCs w:val="18"/>
                                            </w:rPr>
                                            <w:t> </w:t>
                                          </w:r>
                                          <w:r>
                                            <w:rPr>
                                              <w:rFonts w:ascii="Helvetica Neue" w:hAnsi="Helvetica Neue"/>
                                              <w:color w:val="222222"/>
                                              <w:sz w:val="18"/>
                                              <w:szCs w:val="18"/>
                                            </w:rPr>
                                            <w:br/>
                                            <w:t xml:space="preserve">In the face of months of enormous and persistent protests, Belarusian President </w:t>
                                          </w:r>
                                          <w:proofErr w:type="spellStart"/>
                                          <w:r>
                                            <w:rPr>
                                              <w:rFonts w:ascii="Helvetica Neue" w:hAnsi="Helvetica Neue"/>
                                              <w:color w:val="222222"/>
                                              <w:sz w:val="18"/>
                                              <w:szCs w:val="18"/>
                                            </w:rPr>
                                            <w:t>Alyaksandr</w:t>
                                          </w:r>
                                          <w:proofErr w:type="spellEnd"/>
                                          <w:r>
                                            <w:rPr>
                                              <w:rFonts w:ascii="Helvetica Neue" w:hAnsi="Helvetica Neue"/>
                                              <w:color w:val="222222"/>
                                              <w:sz w:val="18"/>
                                              <w:szCs w:val="18"/>
                                            </w:rPr>
                                            <w:t xml:space="preserve"> Lukashenka has continued to cling to power. Lukashenka was unwilling to undertake a brutal crackdown, according to Vladislav </w:t>
                                          </w:r>
                                          <w:proofErr w:type="spellStart"/>
                                          <w:r>
                                            <w:rPr>
                                              <w:rFonts w:ascii="Helvetica Neue" w:hAnsi="Helvetica Neue"/>
                                              <w:color w:val="222222"/>
                                              <w:sz w:val="18"/>
                                              <w:szCs w:val="18"/>
                                            </w:rPr>
                                            <w:t>Davidzon</w:t>
                                          </w:r>
                                          <w:proofErr w:type="spellEnd"/>
                                          <w:r>
                                            <w:rPr>
                                              <w:rFonts w:ascii="Helvetica Neue" w:hAnsi="Helvetica Neue"/>
                                              <w:color w:val="222222"/>
                                              <w:sz w:val="18"/>
                                              <w:szCs w:val="18"/>
                                            </w:rPr>
                                            <w:t xml:space="preserve"> in </w:t>
                                          </w:r>
                                          <w:hyperlink r:id="rId23" w:tgtFrame="_blank" w:history="1">
                                            <w:r>
                                              <w:rPr>
                                                <w:rStyle w:val="Emphasis"/>
                                                <w:rFonts w:ascii="Helvetica Neue" w:hAnsi="Helvetica Neue"/>
                                                <w:b/>
                                                <w:bCs/>
                                                <w:color w:val="4C6AA2"/>
                                                <w:sz w:val="18"/>
                                                <w:szCs w:val="18"/>
                                              </w:rPr>
                                              <w:t>Foreign Policy</w:t>
                                            </w:r>
                                          </w:hyperlink>
                                          <w:r>
                                            <w:rPr>
                                              <w:rFonts w:ascii="Helvetica Neue" w:hAnsi="Helvetica Neue"/>
                                              <w:color w:val="222222"/>
                                              <w:sz w:val="18"/>
                                              <w:szCs w:val="18"/>
                                            </w:rPr>
                                            <w:t>, because such a move would invite revolution and potential Russian intervention. Last weekend, Lukashenka tried something new: he met with imprisoned members of the opposition to discuss constitutional reform. However, hopes that this represented a genuine move towards reconciliation were dashed the following day when government forces violently attacked a protest in Minsk, arresting hundreds and indiscriminately beating protesters. The situation will almost certainly continue to deteriorate.</w:t>
                                          </w:r>
                                          <w:r>
                                            <w:rPr>
                                              <w:rFonts w:ascii="Verdana" w:hAnsi="Verdana"/>
                                              <w:color w:val="222222"/>
                                            </w:rPr>
                                            <w:br/>
                                          </w:r>
                                          <w:r>
                                            <w:rPr>
                                              <w:rFonts w:ascii="Helvetica Neue" w:hAnsi="Helvetica Neue"/>
                                              <w:color w:val="222222"/>
                                              <w:sz w:val="15"/>
                                              <w:szCs w:val="15"/>
                                            </w:rPr>
                                            <w:t>Image credit: </w:t>
                                          </w:r>
                                          <w:hyperlink r:id="rId24" w:tgtFrame="_blank" w:history="1">
                                            <w:r>
                                              <w:rPr>
                                                <w:rStyle w:val="Hyperlink"/>
                                                <w:rFonts w:ascii="Helvetica Neue" w:hAnsi="Helvetica Neue"/>
                                                <w:b/>
                                                <w:bCs/>
                                                <w:color w:val="4C6AA2"/>
                                                <w:sz w:val="15"/>
                                                <w:szCs w:val="15"/>
                                              </w:rPr>
                                              <w:t xml:space="preserve">Marco </w:t>
                                            </w:r>
                                            <w:proofErr w:type="spellStart"/>
                                            <w:r>
                                              <w:rPr>
                                                <w:rStyle w:val="Hyperlink"/>
                                                <w:rFonts w:ascii="Helvetica Neue" w:hAnsi="Helvetica Neue"/>
                                                <w:b/>
                                                <w:bCs/>
                                                <w:color w:val="4C6AA2"/>
                                                <w:sz w:val="15"/>
                                                <w:szCs w:val="15"/>
                                              </w:rPr>
                                              <w:t>Fieber</w:t>
                                            </w:r>
                                            <w:proofErr w:type="spellEnd"/>
                                          </w:hyperlink>
                                        </w:p>
                                      </w:tc>
                                    </w:tr>
                                  </w:tbl>
                                  <w:p w14:paraId="4200821D" w14:textId="77777777" w:rsidR="00EB345E" w:rsidRDefault="00EB345E">
                                    <w:pPr>
                                      <w:rPr>
                                        <w:rFonts w:ascii="Times New Roman" w:hAnsi="Times New Roman"/>
                                      </w:rPr>
                                    </w:pPr>
                                  </w:p>
                                </w:tc>
                              </w:tr>
                            </w:tbl>
                            <w:p w14:paraId="2C6BC477" w14:textId="77777777" w:rsidR="00EB345E" w:rsidRDefault="00EB345E"/>
                          </w:tc>
                        </w:tr>
                      </w:tbl>
                      <w:p w14:paraId="2CCE1A40" w14:textId="77777777" w:rsidR="00EB345E" w:rsidRDefault="00EB345E">
                        <w:pPr>
                          <w:rPr>
                            <w:vanish/>
                          </w:rPr>
                        </w:pPr>
                      </w:p>
                      <w:tbl>
                        <w:tblPr>
                          <w:tblW w:w="5000" w:type="pct"/>
                          <w:tblCellMar>
                            <w:left w:w="0" w:type="dxa"/>
                            <w:right w:w="0" w:type="dxa"/>
                          </w:tblCellMar>
                          <w:tblLook w:val="04A0" w:firstRow="1" w:lastRow="0" w:firstColumn="1" w:lastColumn="0" w:noHBand="0" w:noVBand="1"/>
                        </w:tblPr>
                        <w:tblGrid>
                          <w:gridCol w:w="10198"/>
                        </w:tblGrid>
                        <w:tr w:rsidR="00EB345E" w14:paraId="24991AB6"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EB345E" w14:paraId="1C649695"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4"/>
                                    </w:tblGrid>
                                    <w:tr w:rsidR="00EB345E" w14:paraId="02AE8A4B" w14:textId="77777777">
                                      <w:tc>
                                        <w:tcPr>
                                          <w:tcW w:w="0" w:type="auto"/>
                                          <w:hideMark/>
                                        </w:tcPr>
                                        <w:p w14:paraId="79D1DA3F" w14:textId="4C4E0CBE" w:rsidR="00EB345E" w:rsidRDefault="00EB345E">
                                          <w:pPr>
                                            <w:jc w:val="right"/>
                                          </w:pPr>
                                          <w:r>
                                            <w:lastRenderedPageBreak/>
                                            <w:fldChar w:fldCharType="begin"/>
                                          </w:r>
                                          <w:r>
                                            <w:instrText xml:space="preserve"> INCLUDEPICTURE "https://mcusercontent.com/0e9feb1606f1b4129a8b65828/images/b61d2e7c-a35c-4492-9d4c-f9c36c396c72.jpg" \* MERGEFORMATINET </w:instrText>
                                          </w:r>
                                          <w:r>
                                            <w:fldChar w:fldCharType="separate"/>
                                          </w:r>
                                          <w:r>
                                            <w:rPr>
                                              <w:noProof/>
                                            </w:rPr>
                                            <w:drawing>
                                              <wp:inline distT="0" distB="0" distL="0" distR="0" wp14:anchorId="5F4780F8" wp14:editId="4EB9E333">
                                                <wp:extent cx="3355340" cy="4689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55340" cy="4689475"/>
                                                        </a:xfrm>
                                                        <a:prstGeom prst="rect">
                                                          <a:avLst/>
                                                        </a:prstGeom>
                                                        <a:noFill/>
                                                        <a:ln>
                                                          <a:noFill/>
                                                        </a:ln>
                                                      </pic:spPr>
                                                    </pic:pic>
                                                  </a:graphicData>
                                                </a:graphic>
                                              </wp:inline>
                                            </w:drawing>
                                          </w:r>
                                          <w: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EB345E" w14:paraId="6B78AB1F" w14:textId="77777777">
                                      <w:tc>
                                        <w:tcPr>
                                          <w:tcW w:w="0" w:type="auto"/>
                                          <w:hideMark/>
                                        </w:tcPr>
                                        <w:p w14:paraId="7CFC05D5" w14:textId="77777777" w:rsidR="00EB345E" w:rsidRDefault="00EB345E">
                                          <w:pPr>
                                            <w:pStyle w:val="NormalWeb"/>
                                            <w:spacing w:before="150" w:beforeAutospacing="0" w:after="150" w:afterAutospacing="0" w:line="300" w:lineRule="atLeast"/>
                                            <w:rPr>
                                              <w:rFonts w:ascii="Verdana" w:hAnsi="Verdana"/>
                                              <w:color w:val="222222"/>
                                            </w:rPr>
                                          </w:pPr>
                                          <w:hyperlink r:id="rId26" w:tgtFrame="_blank" w:history="1">
                                            <w:r>
                                              <w:rPr>
                                                <w:rStyle w:val="Hyperlink"/>
                                                <w:rFonts w:ascii="Helvetica Neue" w:hAnsi="Helvetica Neue"/>
                                                <w:b/>
                                                <w:bCs/>
                                                <w:color w:val="4C6AA2"/>
                                                <w:sz w:val="30"/>
                                                <w:szCs w:val="30"/>
                                              </w:rPr>
                                              <w:t>Keep an eye on Taiwan</w:t>
                                            </w:r>
                                          </w:hyperlink>
                                          <w:r>
                                            <w:rPr>
                                              <w:rFonts w:ascii="Verdana" w:hAnsi="Verdana"/>
                                              <w:color w:val="222222"/>
                                            </w:rPr>
                                            <w:br/>
                                          </w:r>
                                          <w:r>
                                            <w:rPr>
                                              <w:rFonts w:ascii="Helvetica Neue" w:hAnsi="Helvetica Neue"/>
                                              <w:color w:val="222222"/>
                                              <w:sz w:val="18"/>
                                              <w:szCs w:val="18"/>
                                            </w:rPr>
                                            <w:t> </w:t>
                                          </w:r>
                                          <w:r>
                                            <w:rPr>
                                              <w:rFonts w:ascii="Helvetica Neue" w:hAnsi="Helvetica Neue"/>
                                              <w:color w:val="222222"/>
                                              <w:sz w:val="18"/>
                                              <w:szCs w:val="18"/>
                                            </w:rPr>
                                            <w:br/>
                                          </w:r>
                                          <w:proofErr w:type="spellStart"/>
                                          <w:r>
                                            <w:rPr>
                                              <w:rFonts w:ascii="Helvetica Neue" w:hAnsi="Helvetica Neue"/>
                                              <w:color w:val="222222"/>
                                              <w:sz w:val="18"/>
                                              <w:szCs w:val="18"/>
                                            </w:rPr>
                                            <w:t>Taiwan</w:t>
                                          </w:r>
                                          <w:proofErr w:type="spellEnd"/>
                                          <w:r>
                                            <w:rPr>
                                              <w:rFonts w:ascii="Helvetica Neue" w:hAnsi="Helvetica Neue"/>
                                              <w:color w:val="222222"/>
                                              <w:sz w:val="18"/>
                                              <w:szCs w:val="18"/>
                                            </w:rPr>
                                            <w:t>, </w:t>
                                          </w:r>
                                          <w:hyperlink r:id="rId27" w:tgtFrame="_blank" w:history="1">
                                            <w:r>
                                              <w:rPr>
                                                <w:rStyle w:val="Hyperlink"/>
                                                <w:rFonts w:ascii="Helvetica Neue" w:hAnsi="Helvetica Neue"/>
                                                <w:b/>
                                                <w:bCs/>
                                                <w:color w:val="4C6AA2"/>
                                                <w:sz w:val="18"/>
                                                <w:szCs w:val="18"/>
                                              </w:rPr>
                                              <w:t>writes</w:t>
                                            </w:r>
                                          </w:hyperlink>
                                          <w:r>
                                            <w:rPr>
                                              <w:rFonts w:ascii="Helvetica Neue" w:hAnsi="Helvetica Neue"/>
                                              <w:color w:val="222222"/>
                                              <w:sz w:val="18"/>
                                              <w:szCs w:val="18"/>
                                            </w:rPr>
                                            <w:t> Michael Schumann in </w:t>
                                          </w:r>
                                          <w:r>
                                            <w:rPr>
                                              <w:rStyle w:val="Emphasis"/>
                                              <w:rFonts w:ascii="Helvetica Neue" w:hAnsi="Helvetica Neue"/>
                                              <w:color w:val="222222"/>
                                              <w:sz w:val="18"/>
                                              <w:szCs w:val="18"/>
                                            </w:rPr>
                                            <w:t>The Atlantic</w:t>
                                          </w:r>
                                          <w:r>
                                            <w:rPr>
                                              <w:rFonts w:ascii="Helvetica Neue" w:hAnsi="Helvetica Neue"/>
                                              <w:color w:val="222222"/>
                                              <w:sz w:val="18"/>
                                              <w:szCs w:val="18"/>
                                            </w:rPr>
                                            <w:t>, is "one of those flash points that has never flashed". But many commentators fear that this may change. Taiwanese people increasingly identify themselves as separate from the mainland, and President Tsai Ing-wen is attempting to navigate a path of economic independence. Beijing is becoming increasingly assertive in the region after successfully clamping down protests in Hong Kong. Trump's haphazard approach has not helped things: public overtures of support for Taiwan anger China. His mercurial approach to foreign affairs also undermines the credibility of US defence commitments to the island. While war remains unlikely, Taiwanese sovereignty is far from safe.</w:t>
                                          </w:r>
                                          <w:r>
                                            <w:rPr>
                                              <w:rFonts w:ascii="Verdana" w:hAnsi="Verdana"/>
                                              <w:color w:val="222222"/>
                                            </w:rPr>
                                            <w:br/>
                                          </w:r>
                                          <w:r>
                                            <w:rPr>
                                              <w:rFonts w:ascii="Helvetica Neue" w:hAnsi="Helvetica Neue"/>
                                              <w:color w:val="222222"/>
                                              <w:sz w:val="15"/>
                                              <w:szCs w:val="15"/>
                                            </w:rPr>
                                            <w:t>Image credit: </w:t>
                                          </w:r>
                                          <w:hyperlink r:id="rId28" w:tgtFrame="_blank" w:tooltip="Go to 總統府's photostream" w:history="1">
                                            <w:proofErr w:type="spellStart"/>
                                            <w:r>
                                              <w:rPr>
                                                <w:rStyle w:val="Hyperlink"/>
                                                <w:rFonts w:ascii="MS Gothic" w:eastAsia="MS Gothic" w:hAnsi="MS Gothic" w:cs="MS Gothic" w:hint="eastAsia"/>
                                                <w:b/>
                                                <w:bCs/>
                                                <w:color w:val="4C6AA2"/>
                                                <w:sz w:val="15"/>
                                                <w:szCs w:val="15"/>
                                              </w:rPr>
                                              <w:t>總統府</w:t>
                                            </w:r>
                                            <w:proofErr w:type="spellEnd"/>
                                          </w:hyperlink>
                                        </w:p>
                                      </w:tc>
                                    </w:tr>
                                  </w:tbl>
                                  <w:p w14:paraId="0F49C704" w14:textId="77777777" w:rsidR="00EB345E" w:rsidRDefault="00EB345E">
                                    <w:pPr>
                                      <w:rPr>
                                        <w:rFonts w:ascii="Times New Roman" w:hAnsi="Times New Roman"/>
                                      </w:rPr>
                                    </w:pPr>
                                  </w:p>
                                </w:tc>
                              </w:tr>
                            </w:tbl>
                            <w:p w14:paraId="59F19976" w14:textId="77777777" w:rsidR="00EB345E" w:rsidRDefault="00EB345E"/>
                          </w:tc>
                        </w:tr>
                      </w:tbl>
                      <w:p w14:paraId="20A27F9A" w14:textId="77777777" w:rsidR="00EB345E" w:rsidRDefault="00EB345E">
                        <w:pPr>
                          <w:rPr>
                            <w:vanish/>
                          </w:rPr>
                        </w:pPr>
                      </w:p>
                      <w:tbl>
                        <w:tblPr>
                          <w:tblW w:w="5000" w:type="pct"/>
                          <w:tblCellMar>
                            <w:left w:w="0" w:type="dxa"/>
                            <w:right w:w="0" w:type="dxa"/>
                          </w:tblCellMar>
                          <w:tblLook w:val="04A0" w:firstRow="1" w:lastRow="0" w:firstColumn="1" w:lastColumn="0" w:noHBand="0" w:noVBand="1"/>
                        </w:tblPr>
                        <w:tblGrid>
                          <w:gridCol w:w="10198"/>
                        </w:tblGrid>
                        <w:tr w:rsidR="00EB345E" w14:paraId="06F8ED51"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EB345E" w14:paraId="20A2B007" w14:textId="77777777">
                                <w:tc>
                                  <w:tcPr>
                                    <w:tcW w:w="0" w:type="auto"/>
                                    <w:vAlign w:val="center"/>
                                    <w:hideMark/>
                                  </w:tcPr>
                                  <w:p w14:paraId="1505F55D" w14:textId="77777777" w:rsidR="00EB345E" w:rsidRDefault="00EB345E"/>
                                </w:tc>
                              </w:tr>
                            </w:tbl>
                            <w:p w14:paraId="1C47BBB6" w14:textId="77777777" w:rsidR="00EB345E" w:rsidRDefault="00EB345E"/>
                          </w:tc>
                        </w:tr>
                      </w:tbl>
                      <w:p w14:paraId="16B4F8BF" w14:textId="77777777" w:rsidR="00EB345E" w:rsidRDefault="00EB345E">
                        <w:pPr>
                          <w:rPr>
                            <w:vanish/>
                          </w:rPr>
                        </w:pPr>
                      </w:p>
                      <w:tbl>
                        <w:tblPr>
                          <w:tblW w:w="5000" w:type="pct"/>
                          <w:tblCellMar>
                            <w:left w:w="0" w:type="dxa"/>
                            <w:right w:w="0" w:type="dxa"/>
                          </w:tblCellMar>
                          <w:tblLook w:val="04A0" w:firstRow="1" w:lastRow="0" w:firstColumn="1" w:lastColumn="0" w:noHBand="0" w:noVBand="1"/>
                        </w:tblPr>
                        <w:tblGrid>
                          <w:gridCol w:w="10198"/>
                        </w:tblGrid>
                        <w:tr w:rsidR="00EB345E" w14:paraId="7B6178D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EB345E" w14:paraId="58FDB807"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EB345E" w14:paraId="1D1560D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EB345E" w14:paraId="13D04359" w14:textId="77777777">
                                            <w:tc>
                                              <w:tcPr>
                                                <w:tcW w:w="0" w:type="auto"/>
                                                <w:hideMark/>
                                              </w:tcPr>
                                              <w:p w14:paraId="37B77355" w14:textId="77777777" w:rsidR="00EB345E" w:rsidRDefault="00EB345E">
                                                <w:r>
                                                  <w:rPr>
                                                    <w:rStyle w:val="Emphasis"/>
                                                    <w:rFonts w:ascii="Helvetica" w:hAnsi="Helvetica"/>
                                                    <w:color w:val="222222"/>
                                                    <w:sz w:val="17"/>
                                                    <w:szCs w:val="17"/>
                                                  </w:rPr>
                                                  <w:t>These articles were selected by Marcus McCulloch. Marcus is undertaking Honours in Political Economy at the University of Sydney, writing a thesis on industrialisation in the Soviet Union. He is a keen debater, and recently reached the finals of the World Universities Debating Championship in Bangkok. Marcus has been interning with AIIA NSW since February 2020</w:t>
                                                </w:r>
                                              </w:p>
                                            </w:tc>
                                          </w:tr>
                                        </w:tbl>
                                        <w:p w14:paraId="37B45B0A" w14:textId="77777777" w:rsidR="00EB345E" w:rsidRDefault="00EB345E"/>
                                      </w:tc>
                                    </w:tr>
                                  </w:tbl>
                                  <w:p w14:paraId="583088D2" w14:textId="77777777" w:rsidR="00EB345E" w:rsidRDefault="00EB345E">
                                    <w:pPr>
                                      <w:spacing w:line="360" w:lineRule="atLeast"/>
                                      <w:rPr>
                                        <w:rFonts w:ascii="Verdana" w:hAnsi="Verdana"/>
                                        <w:color w:val="000000"/>
                                      </w:rPr>
                                    </w:pPr>
                                  </w:p>
                                </w:tc>
                              </w:tr>
                            </w:tbl>
                            <w:p w14:paraId="1889D949" w14:textId="77777777" w:rsidR="00EB345E" w:rsidRDefault="00EB345E"/>
                          </w:tc>
                        </w:tr>
                      </w:tbl>
                      <w:p w14:paraId="6565E091" w14:textId="77777777" w:rsidR="00EB345E" w:rsidRDefault="00EB345E">
                        <w:pPr>
                          <w:rPr>
                            <w:vanish/>
                          </w:rPr>
                        </w:pPr>
                      </w:p>
                      <w:tbl>
                        <w:tblPr>
                          <w:tblW w:w="5000" w:type="pct"/>
                          <w:tblCellMar>
                            <w:left w:w="0" w:type="dxa"/>
                            <w:right w:w="0" w:type="dxa"/>
                          </w:tblCellMar>
                          <w:tblLook w:val="04A0" w:firstRow="1" w:lastRow="0" w:firstColumn="1" w:lastColumn="0" w:noHBand="0" w:noVBand="1"/>
                        </w:tblPr>
                        <w:tblGrid>
                          <w:gridCol w:w="10198"/>
                        </w:tblGrid>
                        <w:tr w:rsidR="00EB345E" w14:paraId="16F9B745"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EB345E" w14:paraId="0D30302E" w14:textId="77777777">
                                <w:tc>
                                  <w:tcPr>
                                    <w:tcW w:w="0" w:type="auto"/>
                                    <w:vAlign w:val="center"/>
                                    <w:hideMark/>
                                  </w:tcPr>
                                  <w:p w14:paraId="1064FC50" w14:textId="77777777" w:rsidR="00EB345E" w:rsidRDefault="00EB345E"/>
                                </w:tc>
                              </w:tr>
                            </w:tbl>
                            <w:p w14:paraId="0CB50126" w14:textId="77777777" w:rsidR="00EB345E" w:rsidRDefault="00EB345E"/>
                          </w:tc>
                        </w:tr>
                      </w:tbl>
                      <w:p w14:paraId="04F888D8" w14:textId="77777777" w:rsidR="00EB345E" w:rsidRDefault="00EB345E">
                        <w:pPr>
                          <w:rPr>
                            <w:vanish/>
                          </w:rPr>
                        </w:pPr>
                      </w:p>
                      <w:tbl>
                        <w:tblPr>
                          <w:tblW w:w="5000" w:type="pct"/>
                          <w:tblCellMar>
                            <w:left w:w="0" w:type="dxa"/>
                            <w:right w:w="0" w:type="dxa"/>
                          </w:tblCellMar>
                          <w:tblLook w:val="04A0" w:firstRow="1" w:lastRow="0" w:firstColumn="1" w:lastColumn="0" w:noHBand="0" w:noVBand="1"/>
                        </w:tblPr>
                        <w:tblGrid>
                          <w:gridCol w:w="10198"/>
                        </w:tblGrid>
                        <w:tr w:rsidR="00EB345E" w14:paraId="6161099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EB345E" w14:paraId="4F79466A"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EB345E" w14:paraId="055C3934" w14:textId="77777777">
                                      <w:tc>
                                        <w:tcPr>
                                          <w:tcW w:w="0" w:type="auto"/>
                                          <w:shd w:val="clear" w:color="auto" w:fill="4B6AA2"/>
                                          <w:tcMar>
                                            <w:top w:w="270" w:type="dxa"/>
                                            <w:left w:w="270" w:type="dxa"/>
                                            <w:bottom w:w="270" w:type="dxa"/>
                                            <w:right w:w="270" w:type="dxa"/>
                                          </w:tcMar>
                                          <w:hideMark/>
                                        </w:tcPr>
                                        <w:p w14:paraId="4DA6717A" w14:textId="77777777" w:rsidR="00EB345E" w:rsidRDefault="00EB345E">
                                          <w:pPr>
                                            <w:spacing w:line="315" w:lineRule="atLeast"/>
                                            <w:jc w:val="center"/>
                                            <w:rPr>
                                              <w:rFonts w:ascii="Helvetica" w:hAnsi="Helvetica"/>
                                              <w:color w:val="F2F2F2"/>
                                              <w:sz w:val="21"/>
                                              <w:szCs w:val="21"/>
                                            </w:rPr>
                                          </w:pPr>
                                          <w:r>
                                            <w:rPr>
                                              <w:rStyle w:val="Strong"/>
                                              <w:rFonts w:ascii="Helvetica Neue" w:hAnsi="Helvetica Neue"/>
                                              <w:color w:val="F2F2F2"/>
                                              <w:sz w:val="36"/>
                                              <w:szCs w:val="36"/>
                                            </w:rPr>
                                            <w:t>What else we're reading</w:t>
                                          </w:r>
                                        </w:p>
                                      </w:tc>
                                    </w:tr>
                                  </w:tbl>
                                  <w:p w14:paraId="3E0B383D" w14:textId="77777777" w:rsidR="00EB345E" w:rsidRDefault="00EB345E">
                                    <w:pPr>
                                      <w:rPr>
                                        <w:rFonts w:ascii="Times New Roman" w:hAnsi="Times New Roman"/>
                                      </w:rPr>
                                    </w:pPr>
                                  </w:p>
                                </w:tc>
                              </w:tr>
                            </w:tbl>
                            <w:p w14:paraId="7A8F2A92" w14:textId="77777777" w:rsidR="00EB345E" w:rsidRDefault="00EB345E"/>
                          </w:tc>
                        </w:tr>
                      </w:tbl>
                      <w:p w14:paraId="62BABF7F" w14:textId="77777777" w:rsidR="00EB345E" w:rsidRDefault="00EB345E">
                        <w:pPr>
                          <w:rPr>
                            <w:vanish/>
                          </w:rPr>
                        </w:pPr>
                      </w:p>
                      <w:tbl>
                        <w:tblPr>
                          <w:tblW w:w="5000" w:type="pct"/>
                          <w:tblCellMar>
                            <w:left w:w="0" w:type="dxa"/>
                            <w:right w:w="0" w:type="dxa"/>
                          </w:tblCellMar>
                          <w:tblLook w:val="04A0" w:firstRow="1" w:lastRow="0" w:firstColumn="1" w:lastColumn="0" w:noHBand="0" w:noVBand="1"/>
                        </w:tblPr>
                        <w:tblGrid>
                          <w:gridCol w:w="10198"/>
                        </w:tblGrid>
                        <w:tr w:rsidR="00EB345E" w14:paraId="06017DA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EB345E" w14:paraId="2360EC7C" w14:textId="77777777">
                                <w:tc>
                                  <w:tcPr>
                                    <w:tcW w:w="0" w:type="auto"/>
                                    <w:tcMar>
                                      <w:top w:w="0" w:type="dxa"/>
                                      <w:left w:w="270" w:type="dxa"/>
                                      <w:bottom w:w="135" w:type="dxa"/>
                                      <w:right w:w="270" w:type="dxa"/>
                                    </w:tcMar>
                                    <w:hideMark/>
                                  </w:tcPr>
                                  <w:p w14:paraId="315167D2" w14:textId="77777777" w:rsidR="00EB345E" w:rsidRDefault="00EB345E" w:rsidP="00EB345E">
                                    <w:pPr>
                                      <w:numPr>
                                        <w:ilvl w:val="0"/>
                                        <w:numId w:val="24"/>
                                      </w:numPr>
                                      <w:spacing w:before="100" w:beforeAutospacing="1" w:after="75" w:line="360" w:lineRule="atLeast"/>
                                      <w:rPr>
                                        <w:rFonts w:ascii="Verdana" w:hAnsi="Verdana"/>
                                        <w:color w:val="222222"/>
                                      </w:rPr>
                                    </w:pPr>
                                    <w:r>
                                      <w:rPr>
                                        <w:rFonts w:ascii="Helvetica Neue" w:hAnsi="Helvetica Neue"/>
                                        <w:color w:val="222222"/>
                                        <w:sz w:val="18"/>
                                        <w:szCs w:val="18"/>
                                      </w:rPr>
                                      <w:t>The ABC </w:t>
                                    </w:r>
                                    <w:hyperlink r:id="rId29" w:tgtFrame="_blank" w:history="1">
                                      <w:r>
                                        <w:rPr>
                                          <w:rStyle w:val="Hyperlink"/>
                                          <w:rFonts w:ascii="Helvetica Neue" w:hAnsi="Helvetica Neue"/>
                                          <w:b/>
                                          <w:bCs/>
                                          <w:color w:val="4C6AA2"/>
                                          <w:sz w:val="18"/>
                                          <w:szCs w:val="18"/>
                                        </w:rPr>
                                        <w:t>looks at</w:t>
                                      </w:r>
                                    </w:hyperlink>
                                    <w:r>
                                      <w:rPr>
                                        <w:rFonts w:ascii="Helvetica Neue" w:hAnsi="Helvetica Neue"/>
                                        <w:color w:val="222222"/>
                                        <w:sz w:val="18"/>
                                        <w:szCs w:val="18"/>
                                      </w:rPr>
                                      <w:t> how the secret 'Australian ballot' was gradually adopted for elections in the United States.</w:t>
                                    </w:r>
                                  </w:p>
                                  <w:p w14:paraId="1B08A05C" w14:textId="77777777" w:rsidR="00EB345E" w:rsidRDefault="00EB345E" w:rsidP="00EB345E">
                                    <w:pPr>
                                      <w:numPr>
                                        <w:ilvl w:val="0"/>
                                        <w:numId w:val="24"/>
                                      </w:numPr>
                                      <w:spacing w:before="100" w:beforeAutospacing="1" w:after="75" w:line="360" w:lineRule="atLeast"/>
                                      <w:rPr>
                                        <w:rFonts w:ascii="Verdana" w:hAnsi="Verdana"/>
                                        <w:color w:val="222222"/>
                                      </w:rPr>
                                    </w:pPr>
                                    <w:r>
                                      <w:rPr>
                                        <w:rFonts w:ascii="Helvetica Neue" w:hAnsi="Helvetica Neue"/>
                                        <w:color w:val="222222"/>
                                        <w:sz w:val="18"/>
                                        <w:szCs w:val="18"/>
                                      </w:rPr>
                                      <w:t>A FiveThirtyEight podcast </w:t>
                                    </w:r>
                                    <w:hyperlink r:id="rId30" w:tgtFrame="_blank" w:history="1">
                                      <w:r>
                                        <w:rPr>
                                          <w:rStyle w:val="Hyperlink"/>
                                          <w:rFonts w:ascii="Helvetica Neue" w:hAnsi="Helvetica Neue"/>
                                          <w:b/>
                                          <w:bCs/>
                                          <w:color w:val="4C6AA2"/>
                                          <w:sz w:val="18"/>
                                          <w:szCs w:val="18"/>
                                        </w:rPr>
                                        <w:t>considers</w:t>
                                      </w:r>
                                    </w:hyperlink>
                                    <w:r>
                                      <w:rPr>
                                        <w:rFonts w:ascii="Helvetica Neue" w:hAnsi="Helvetica Neue"/>
                                        <w:color w:val="222222"/>
                                        <w:sz w:val="18"/>
                                        <w:szCs w:val="18"/>
                                      </w:rPr>
                                      <w:t> how US President Donald Trump could potentially win his bid for re-election.</w:t>
                                    </w:r>
                                  </w:p>
                                  <w:p w14:paraId="34FC9E52" w14:textId="77777777" w:rsidR="00EB345E" w:rsidRDefault="00EB345E" w:rsidP="00EB345E">
                                    <w:pPr>
                                      <w:numPr>
                                        <w:ilvl w:val="0"/>
                                        <w:numId w:val="24"/>
                                      </w:numPr>
                                      <w:spacing w:before="100" w:beforeAutospacing="1" w:after="75" w:line="360" w:lineRule="atLeast"/>
                                      <w:rPr>
                                        <w:rFonts w:ascii="Verdana" w:hAnsi="Verdana"/>
                                        <w:color w:val="222222"/>
                                      </w:rPr>
                                    </w:pPr>
                                    <w:r>
                                      <w:rPr>
                                        <w:rFonts w:ascii="Helvetica Neue" w:hAnsi="Helvetica Neue"/>
                                        <w:color w:val="222222"/>
                                        <w:sz w:val="18"/>
                                        <w:szCs w:val="18"/>
                                      </w:rPr>
                                      <w:t>In the Australian Financial Review, Professor James Curran from the University of Sydney </w:t>
                                    </w:r>
                                    <w:hyperlink r:id="rId31" w:tgtFrame="_blank" w:history="1">
                                      <w:r>
                                        <w:rPr>
                                          <w:rStyle w:val="Hyperlink"/>
                                          <w:rFonts w:ascii="Helvetica Neue" w:hAnsi="Helvetica Neue"/>
                                          <w:b/>
                                          <w:bCs/>
                                          <w:color w:val="4C6AA2"/>
                                          <w:sz w:val="18"/>
                                          <w:szCs w:val="18"/>
                                        </w:rPr>
                                        <w:t>weighs up</w:t>
                                      </w:r>
                                    </w:hyperlink>
                                    <w:r>
                                      <w:rPr>
                                        <w:rFonts w:ascii="Helvetica Neue" w:hAnsi="Helvetica Neue"/>
                                        <w:color w:val="222222"/>
                                        <w:sz w:val="18"/>
                                        <w:szCs w:val="18"/>
                                      </w:rPr>
                                      <w:t> how a Biden presidency could act towards allies such as Australia.</w:t>
                                    </w:r>
                                  </w:p>
                                  <w:p w14:paraId="5A5292C5" w14:textId="77777777" w:rsidR="00EB345E" w:rsidRDefault="00EB345E" w:rsidP="00EB345E">
                                    <w:pPr>
                                      <w:numPr>
                                        <w:ilvl w:val="0"/>
                                        <w:numId w:val="24"/>
                                      </w:numPr>
                                      <w:spacing w:before="100" w:beforeAutospacing="1" w:after="75" w:line="360" w:lineRule="atLeast"/>
                                      <w:rPr>
                                        <w:rFonts w:ascii="Verdana" w:hAnsi="Verdana"/>
                                        <w:color w:val="222222"/>
                                      </w:rPr>
                                    </w:pPr>
                                    <w:r>
                                      <w:rPr>
                                        <w:rFonts w:ascii="Helvetica Neue" w:hAnsi="Helvetica Neue"/>
                                        <w:color w:val="222222"/>
                                        <w:sz w:val="18"/>
                                        <w:szCs w:val="18"/>
                                      </w:rPr>
                                      <w:t>Ankit Panda </w:t>
                                    </w:r>
                                    <w:hyperlink r:id="rId32" w:tgtFrame="_blank" w:history="1">
                                      <w:r>
                                        <w:rPr>
                                          <w:rStyle w:val="Hyperlink"/>
                                          <w:rFonts w:ascii="Helvetica Neue" w:hAnsi="Helvetica Neue"/>
                                          <w:b/>
                                          <w:bCs/>
                                          <w:color w:val="4C6AA2"/>
                                          <w:sz w:val="18"/>
                                          <w:szCs w:val="18"/>
                                        </w:rPr>
                                        <w:t>reflects on</w:t>
                                      </w:r>
                                    </w:hyperlink>
                                    <w:r>
                                      <w:rPr>
                                        <w:rFonts w:ascii="Helvetica Neue" w:hAnsi="Helvetica Neue"/>
                                        <w:color w:val="222222"/>
                                        <w:sz w:val="18"/>
                                        <w:szCs w:val="18"/>
                                      </w:rPr>
                                      <w:t> the recent midnight military parade in Pyongyang celebrating the 75th anniversary of the Worker's Party of Korea, and the prominent display of a 'new strategic weapon'.</w:t>
                                    </w:r>
                                  </w:p>
                                  <w:p w14:paraId="2CD56762" w14:textId="77777777" w:rsidR="00EB345E" w:rsidRDefault="00EB345E" w:rsidP="00EB345E">
                                    <w:pPr>
                                      <w:numPr>
                                        <w:ilvl w:val="0"/>
                                        <w:numId w:val="24"/>
                                      </w:numPr>
                                      <w:spacing w:before="100" w:beforeAutospacing="1" w:after="75" w:line="360" w:lineRule="atLeast"/>
                                      <w:rPr>
                                        <w:rFonts w:ascii="Verdana" w:hAnsi="Verdana"/>
                                        <w:color w:val="222222"/>
                                      </w:rPr>
                                    </w:pPr>
                                    <w:r>
                                      <w:rPr>
                                        <w:rFonts w:ascii="Helvetica Neue" w:hAnsi="Helvetica Neue"/>
                                        <w:color w:val="222222"/>
                                        <w:sz w:val="18"/>
                                        <w:szCs w:val="18"/>
                                      </w:rPr>
                                      <w:lastRenderedPageBreak/>
                                      <w:t>Released last week, the Lowy Institute's updated </w:t>
                                    </w:r>
                                    <w:hyperlink r:id="rId33" w:tgtFrame="_blank" w:history="1">
                                      <w:r>
                                        <w:rPr>
                                          <w:rStyle w:val="Hyperlink"/>
                                          <w:rFonts w:ascii="Helvetica Neue" w:hAnsi="Helvetica Neue"/>
                                          <w:b/>
                                          <w:bCs/>
                                          <w:color w:val="4C6AA2"/>
                                          <w:sz w:val="18"/>
                                          <w:szCs w:val="18"/>
                                        </w:rPr>
                                        <w:t>Pacific Aid Map</w:t>
                                      </w:r>
                                    </w:hyperlink>
                                    <w:r>
                                      <w:rPr>
                                        <w:rFonts w:ascii="Helvetica Neue" w:hAnsi="Helvetica Neue"/>
                                        <w:color w:val="222222"/>
                                        <w:sz w:val="18"/>
                                        <w:szCs w:val="18"/>
                                      </w:rPr>
                                      <w:t> examines close to 40,000 aid projects from 64 donors across the Pacific Islands region.</w:t>
                                    </w:r>
                                  </w:p>
                                  <w:p w14:paraId="11EBEFF3" w14:textId="77777777" w:rsidR="00EB345E" w:rsidRDefault="00EB345E" w:rsidP="00EB345E">
                                    <w:pPr>
                                      <w:numPr>
                                        <w:ilvl w:val="0"/>
                                        <w:numId w:val="24"/>
                                      </w:numPr>
                                      <w:spacing w:before="100" w:beforeAutospacing="1" w:after="75" w:line="360" w:lineRule="atLeast"/>
                                      <w:rPr>
                                        <w:rFonts w:ascii="Verdana" w:hAnsi="Verdana"/>
                                        <w:color w:val="222222"/>
                                      </w:rPr>
                                    </w:pPr>
                                    <w:r>
                                      <w:rPr>
                                        <w:rFonts w:ascii="Helvetica Neue" w:hAnsi="Helvetica Neue"/>
                                        <w:color w:val="222222"/>
                                        <w:sz w:val="18"/>
                                        <w:szCs w:val="18"/>
                                      </w:rPr>
                                      <w:t>As Myanmar gears up for general elections in November, Crisis Group </w:t>
                                    </w:r>
                                    <w:hyperlink r:id="rId34" w:tgtFrame="_blank" w:history="1">
                                      <w:r>
                                        <w:rPr>
                                          <w:rStyle w:val="Hyperlink"/>
                                          <w:rFonts w:ascii="Helvetica Neue" w:hAnsi="Helvetica Neue"/>
                                          <w:b/>
                                          <w:bCs/>
                                          <w:color w:val="4C6AA2"/>
                                          <w:sz w:val="18"/>
                                          <w:szCs w:val="18"/>
                                        </w:rPr>
                                        <w:t>explores</w:t>
                                      </w:r>
                                    </w:hyperlink>
                                    <w:r>
                                      <w:rPr>
                                        <w:rFonts w:ascii="Helvetica Neue" w:hAnsi="Helvetica Neue"/>
                                        <w:color w:val="222222"/>
                                        <w:sz w:val="18"/>
                                        <w:szCs w:val="18"/>
                                      </w:rPr>
                                      <w:t> the country's complex relationship between ethnicity, national identity and conflict.</w:t>
                                    </w:r>
                                  </w:p>
                                </w:tc>
                              </w:tr>
                            </w:tbl>
                            <w:p w14:paraId="585D1528" w14:textId="77777777" w:rsidR="00EB345E" w:rsidRDefault="00EB345E">
                              <w:pPr>
                                <w:rPr>
                                  <w:rFonts w:ascii="Times New Roman" w:hAnsi="Times New Roman"/>
                                </w:rPr>
                              </w:pPr>
                            </w:p>
                          </w:tc>
                        </w:tr>
                      </w:tbl>
                      <w:p w14:paraId="023DDBD1" w14:textId="77777777" w:rsidR="00EB345E" w:rsidRDefault="00EB345E">
                        <w:pPr>
                          <w:rPr>
                            <w:vanish/>
                          </w:rPr>
                        </w:pPr>
                      </w:p>
                      <w:tbl>
                        <w:tblPr>
                          <w:tblW w:w="5000" w:type="pct"/>
                          <w:tblCellMar>
                            <w:left w:w="0" w:type="dxa"/>
                            <w:right w:w="0" w:type="dxa"/>
                          </w:tblCellMar>
                          <w:tblLook w:val="04A0" w:firstRow="1" w:lastRow="0" w:firstColumn="1" w:lastColumn="0" w:noHBand="0" w:noVBand="1"/>
                        </w:tblPr>
                        <w:tblGrid>
                          <w:gridCol w:w="10198"/>
                        </w:tblGrid>
                        <w:tr w:rsidR="00EB345E" w14:paraId="41A473EB"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EB345E" w14:paraId="5451AE04" w14:textId="77777777">
                                <w:tc>
                                  <w:tcPr>
                                    <w:tcW w:w="0" w:type="auto"/>
                                    <w:vAlign w:val="center"/>
                                    <w:hideMark/>
                                  </w:tcPr>
                                  <w:p w14:paraId="1A268F3C" w14:textId="77777777" w:rsidR="00EB345E" w:rsidRDefault="00EB345E"/>
                                </w:tc>
                              </w:tr>
                            </w:tbl>
                            <w:p w14:paraId="5C8DA94A" w14:textId="77777777" w:rsidR="00EB345E" w:rsidRDefault="00EB345E"/>
                          </w:tc>
                        </w:tr>
                      </w:tbl>
                      <w:p w14:paraId="5CFFD7C2" w14:textId="77777777" w:rsidR="00EB345E" w:rsidRDefault="00EB345E">
                        <w:pPr>
                          <w:rPr>
                            <w:vanish/>
                          </w:rPr>
                        </w:pPr>
                      </w:p>
                      <w:tbl>
                        <w:tblPr>
                          <w:tblW w:w="5000" w:type="pct"/>
                          <w:tblCellMar>
                            <w:left w:w="0" w:type="dxa"/>
                            <w:right w:w="0" w:type="dxa"/>
                          </w:tblCellMar>
                          <w:tblLook w:val="04A0" w:firstRow="1" w:lastRow="0" w:firstColumn="1" w:lastColumn="0" w:noHBand="0" w:noVBand="1"/>
                        </w:tblPr>
                        <w:tblGrid>
                          <w:gridCol w:w="10198"/>
                        </w:tblGrid>
                        <w:tr w:rsidR="00EB345E" w14:paraId="1A0C849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EB345E" w14:paraId="072C8093"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EB345E" w14:paraId="05F8B1EF" w14:textId="77777777">
                                      <w:tc>
                                        <w:tcPr>
                                          <w:tcW w:w="0" w:type="auto"/>
                                          <w:shd w:val="clear" w:color="auto" w:fill="4B6AA2"/>
                                          <w:tcMar>
                                            <w:top w:w="270" w:type="dxa"/>
                                            <w:left w:w="270" w:type="dxa"/>
                                            <w:bottom w:w="270" w:type="dxa"/>
                                            <w:right w:w="270" w:type="dxa"/>
                                          </w:tcMar>
                                          <w:hideMark/>
                                        </w:tcPr>
                                        <w:p w14:paraId="5E052210" w14:textId="77777777" w:rsidR="00EB345E" w:rsidRDefault="00EB345E">
                                          <w:pPr>
                                            <w:spacing w:line="315" w:lineRule="atLeast"/>
                                            <w:jc w:val="center"/>
                                            <w:rPr>
                                              <w:rFonts w:ascii="Helvetica" w:hAnsi="Helvetica"/>
                                              <w:color w:val="F2F2F2"/>
                                              <w:sz w:val="21"/>
                                              <w:szCs w:val="21"/>
                                            </w:rPr>
                                          </w:pPr>
                                          <w:r>
                                            <w:rPr>
                                              <w:rStyle w:val="Strong"/>
                                              <w:rFonts w:ascii="Helvetica Neue" w:hAnsi="Helvetica Neue"/>
                                              <w:color w:val="F2F2F2"/>
                                              <w:sz w:val="36"/>
                                              <w:szCs w:val="36"/>
                                            </w:rPr>
                                            <w:t>Letters to the Editor</w:t>
                                          </w:r>
                                        </w:p>
                                      </w:tc>
                                    </w:tr>
                                  </w:tbl>
                                  <w:p w14:paraId="30CEC371" w14:textId="77777777" w:rsidR="00EB345E" w:rsidRDefault="00EB345E">
                                    <w:pPr>
                                      <w:rPr>
                                        <w:rFonts w:ascii="Times New Roman" w:hAnsi="Times New Roman"/>
                                      </w:rPr>
                                    </w:pPr>
                                  </w:p>
                                </w:tc>
                              </w:tr>
                            </w:tbl>
                            <w:p w14:paraId="514D358F" w14:textId="77777777" w:rsidR="00EB345E" w:rsidRDefault="00EB345E"/>
                          </w:tc>
                        </w:tr>
                      </w:tbl>
                      <w:p w14:paraId="6D47864B" w14:textId="77777777" w:rsidR="00EB345E" w:rsidRDefault="00EB345E">
                        <w:pPr>
                          <w:rPr>
                            <w:vanish/>
                          </w:rPr>
                        </w:pPr>
                      </w:p>
                      <w:tbl>
                        <w:tblPr>
                          <w:tblW w:w="5000" w:type="pct"/>
                          <w:tblCellMar>
                            <w:left w:w="0" w:type="dxa"/>
                            <w:right w:w="0" w:type="dxa"/>
                          </w:tblCellMar>
                          <w:tblLook w:val="04A0" w:firstRow="1" w:lastRow="0" w:firstColumn="1" w:lastColumn="0" w:noHBand="0" w:noVBand="1"/>
                        </w:tblPr>
                        <w:tblGrid>
                          <w:gridCol w:w="10198"/>
                        </w:tblGrid>
                        <w:tr w:rsidR="00EB345E" w14:paraId="0AA1970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EB345E" w14:paraId="21162C45" w14:textId="77777777">
                                <w:tc>
                                  <w:tcPr>
                                    <w:tcW w:w="0" w:type="auto"/>
                                    <w:tcMar>
                                      <w:top w:w="0" w:type="dxa"/>
                                      <w:left w:w="270" w:type="dxa"/>
                                      <w:bottom w:w="135" w:type="dxa"/>
                                      <w:right w:w="270" w:type="dxa"/>
                                    </w:tcMar>
                                    <w:hideMark/>
                                  </w:tcPr>
                                  <w:p w14:paraId="6BF7EB99" w14:textId="77777777" w:rsidR="00EB345E" w:rsidRDefault="00EB345E">
                                    <w:pPr>
                                      <w:spacing w:line="360" w:lineRule="atLeast"/>
                                      <w:rPr>
                                        <w:rFonts w:ascii="Verdana" w:hAnsi="Verdana"/>
                                        <w:color w:val="000000"/>
                                      </w:rPr>
                                    </w:pPr>
                                    <w:r>
                                      <w:rPr>
                                        <w:rStyle w:val="Strong"/>
                                        <w:rFonts w:ascii="Helvetica Neue" w:hAnsi="Helvetica Neue"/>
                                        <w:color w:val="000000"/>
                                        <w:sz w:val="27"/>
                                        <w:szCs w:val="27"/>
                                      </w:rPr>
                                      <w:t>Get involved!</w:t>
                                    </w:r>
                                    <w:r>
                                      <w:rPr>
                                        <w:rFonts w:ascii="Helvetica Neue" w:hAnsi="Helvetica Neue"/>
                                        <w:color w:val="000000"/>
                                      </w:rPr>
                                      <w:br/>
                                    </w:r>
                                    <w:r>
                                      <w:rPr>
                                        <w:rFonts w:ascii="Helvetica Neue" w:hAnsi="Helvetica Neue"/>
                                        <w:color w:val="000000"/>
                                      </w:rPr>
                                      <w:br/>
                                    </w:r>
                                    <w:r>
                                      <w:rPr>
                                        <w:rFonts w:ascii="Helvetica Neue" w:hAnsi="Helvetica Neue"/>
                                        <w:color w:val="000000"/>
                                        <w:sz w:val="18"/>
                                        <w:szCs w:val="18"/>
                                      </w:rPr>
                                      <w:t>We're committed to keeping conversations about international affairs going, so get involved in our Letters to the Editor section!</w:t>
                                    </w:r>
                                    <w:r>
                                      <w:rPr>
                                        <w:rFonts w:ascii="Helvetica Neue" w:hAnsi="Helvetica Neue"/>
                                        <w:color w:val="000000"/>
                                        <w:sz w:val="18"/>
                                        <w:szCs w:val="18"/>
                                      </w:rPr>
                                      <w:br/>
                                    </w:r>
                                    <w:r>
                                      <w:rPr>
                                        <w:rFonts w:ascii="Helvetica Neue" w:hAnsi="Helvetica Neue"/>
                                        <w:color w:val="000000"/>
                                        <w:sz w:val="18"/>
                                        <w:szCs w:val="18"/>
                                      </w:rPr>
                                      <w:br/>
                                      <w:t>Each week, we publish letters from our subscribers about what they think of the issues we’re discussing.</w:t>
                                    </w:r>
                                    <w:r>
                                      <w:rPr>
                                        <w:rFonts w:ascii="Helvetica Neue" w:hAnsi="Helvetica Neue"/>
                                        <w:color w:val="000000"/>
                                        <w:sz w:val="18"/>
                                        <w:szCs w:val="18"/>
                                      </w:rPr>
                                      <w:br/>
                                    </w:r>
                                    <w:r>
                                      <w:rPr>
                                        <w:rFonts w:ascii="Helvetica Neue" w:hAnsi="Helvetica Neue"/>
                                        <w:color w:val="000000"/>
                                        <w:sz w:val="18"/>
                                        <w:szCs w:val="18"/>
                                      </w:rPr>
                                      <w:br/>
                                      <w:t xml:space="preserve">You can take part in the conversation by emailing us with your comments on each week’s articles. There are just a few simple guidelines: letters should be no more than 100 words in </w:t>
                                    </w:r>
                                    <w:proofErr w:type="gramStart"/>
                                    <w:r>
                                      <w:rPr>
                                        <w:rFonts w:ascii="Helvetica Neue" w:hAnsi="Helvetica Neue"/>
                                        <w:color w:val="000000"/>
                                        <w:sz w:val="18"/>
                                        <w:szCs w:val="18"/>
                                      </w:rPr>
                                      <w:t>length, and</w:t>
                                    </w:r>
                                    <w:proofErr w:type="gramEnd"/>
                                    <w:r>
                                      <w:rPr>
                                        <w:rFonts w:ascii="Helvetica Neue" w:hAnsi="Helvetica Neue"/>
                                        <w:color w:val="000000"/>
                                        <w:sz w:val="18"/>
                                        <w:szCs w:val="18"/>
                                      </w:rPr>
                                      <w:t xml:space="preserve"> should only be about the previous week’s articles. Please include your name and affiliation, and a mobile number (which won't be published). If you are a university student, please include your university and current degree.</w:t>
                                    </w:r>
                                    <w:r>
                                      <w:rPr>
                                        <w:rFonts w:ascii="Helvetica Neue" w:hAnsi="Helvetica Neue"/>
                                        <w:color w:val="000000"/>
                                        <w:sz w:val="18"/>
                                        <w:szCs w:val="18"/>
                                      </w:rPr>
                                      <w:br/>
                                    </w:r>
                                    <w:r>
                                      <w:rPr>
                                        <w:rFonts w:ascii="Helvetica Neue" w:hAnsi="Helvetica Neue"/>
                                        <w:color w:val="000000"/>
                                        <w:sz w:val="18"/>
                                        <w:szCs w:val="18"/>
                                      </w:rPr>
                                      <w:br/>
                                      <w:t>Send all letters to the editors at </w:t>
                                    </w:r>
                                    <w:hyperlink r:id="rId35" w:tgtFrame="_blank" w:history="1">
                                      <w:r>
                                        <w:rPr>
                                          <w:rStyle w:val="Hyperlink"/>
                                          <w:rFonts w:ascii="Helvetica Neue" w:hAnsi="Helvetica Neue"/>
                                          <w:b/>
                                          <w:bCs/>
                                          <w:color w:val="4C6AA2"/>
                                          <w:sz w:val="18"/>
                                          <w:szCs w:val="18"/>
                                        </w:rPr>
                                        <w:t>aiianswletters@gmail.com</w:t>
                                      </w:r>
                                    </w:hyperlink>
                                    <w:r>
                                      <w:rPr>
                                        <w:rFonts w:ascii="Helvetica Neue" w:hAnsi="Helvetica Neue"/>
                                        <w:color w:val="000000"/>
                                        <w:sz w:val="18"/>
                                        <w:szCs w:val="18"/>
                                      </w:rPr>
                                      <w:t> by Wednesday at 5pm Sydney time for the chance to be published in the following week's newsletter.</w:t>
                                    </w:r>
                                  </w:p>
                                </w:tc>
                              </w:tr>
                            </w:tbl>
                            <w:p w14:paraId="6AAD04E4" w14:textId="77777777" w:rsidR="00EB345E" w:rsidRDefault="00EB345E">
                              <w:pPr>
                                <w:rPr>
                                  <w:rFonts w:ascii="Times New Roman" w:hAnsi="Times New Roman"/>
                                </w:rPr>
                              </w:pPr>
                            </w:p>
                          </w:tc>
                        </w:tr>
                      </w:tbl>
                      <w:p w14:paraId="742B356A" w14:textId="77777777" w:rsidR="00EB345E" w:rsidRDefault="00EB345E">
                        <w:pPr>
                          <w:rPr>
                            <w:vanish/>
                          </w:rPr>
                        </w:pPr>
                      </w:p>
                      <w:tbl>
                        <w:tblPr>
                          <w:tblW w:w="5000" w:type="pct"/>
                          <w:tblCellMar>
                            <w:left w:w="0" w:type="dxa"/>
                            <w:right w:w="0" w:type="dxa"/>
                          </w:tblCellMar>
                          <w:tblLook w:val="04A0" w:firstRow="1" w:lastRow="0" w:firstColumn="1" w:lastColumn="0" w:noHBand="0" w:noVBand="1"/>
                        </w:tblPr>
                        <w:tblGrid>
                          <w:gridCol w:w="10198"/>
                        </w:tblGrid>
                        <w:tr w:rsidR="00EB345E" w14:paraId="1F04EC35"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EB345E" w14:paraId="62461135" w14:textId="77777777">
                                <w:tc>
                                  <w:tcPr>
                                    <w:tcW w:w="0" w:type="auto"/>
                                    <w:vAlign w:val="center"/>
                                    <w:hideMark/>
                                  </w:tcPr>
                                  <w:p w14:paraId="38AD0FDB" w14:textId="77777777" w:rsidR="00EB345E" w:rsidRDefault="00EB345E"/>
                                </w:tc>
                              </w:tr>
                            </w:tbl>
                            <w:p w14:paraId="350F177D" w14:textId="77777777" w:rsidR="00EB345E" w:rsidRDefault="00EB345E"/>
                          </w:tc>
                        </w:tr>
                      </w:tbl>
                      <w:p w14:paraId="1AE65FE8" w14:textId="77777777" w:rsidR="00EB345E" w:rsidRDefault="00EB345E"/>
                    </w:tc>
                  </w:tr>
                </w:tbl>
                <w:p w14:paraId="1F9F01E7" w14:textId="77777777" w:rsidR="00EB345E" w:rsidRDefault="00EB345E">
                  <w:pPr>
                    <w:jc w:val="center"/>
                  </w:pPr>
                </w:p>
              </w:tc>
            </w:tr>
          </w:tbl>
          <w:p w14:paraId="7B4B434E" w14:textId="77777777" w:rsidR="00EB345E" w:rsidRDefault="00EB345E">
            <w:pPr>
              <w:jc w:val="center"/>
              <w:rPr>
                <w:rFonts w:ascii="Times" w:hAnsi="Times"/>
                <w:color w:val="000000"/>
                <w:sz w:val="27"/>
                <w:szCs w:val="27"/>
              </w:rPr>
            </w:pPr>
          </w:p>
        </w:tc>
      </w:tr>
      <w:tr w:rsidR="00EB345E" w14:paraId="6869A4CF" w14:textId="77777777" w:rsidTr="00EB345E">
        <w:tc>
          <w:tcPr>
            <w:tcW w:w="0" w:type="auto"/>
            <w:shd w:val="clear" w:color="auto" w:fill="DDDDDD"/>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10198"/>
            </w:tblGrid>
            <w:tr w:rsidR="00EB345E" w14:paraId="3FA237ED" w14:textId="77777777">
              <w:trPr>
                <w:jc w:val="center"/>
              </w:trPr>
              <w:tc>
                <w:tcPr>
                  <w:tcW w:w="0" w:type="auto"/>
                  <w:shd w:val="clear" w:color="auto" w:fill="F5F5F5"/>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3000"/>
                    <w:gridCol w:w="3000"/>
                    <w:gridCol w:w="3000"/>
                  </w:tblGrid>
                  <w:tr w:rsidR="00EB345E" w14:paraId="5E62DD55" w14:textId="77777777">
                    <w:trPr>
                      <w:jc w:val="center"/>
                    </w:trPr>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EB345E" w14:paraId="3D864376" w14:textId="77777777">
                          <w:tc>
                            <w:tcPr>
                              <w:tcW w:w="0" w:type="auto"/>
                              <w:hideMark/>
                            </w:tcPr>
                            <w:p w14:paraId="762D28E1" w14:textId="77777777" w:rsidR="00EB345E" w:rsidRDefault="00EB345E">
                              <w:pPr>
                                <w:jc w:val="center"/>
                                <w:rPr>
                                  <w:sz w:val="20"/>
                                  <w:szCs w:val="20"/>
                                </w:rPr>
                              </w:pPr>
                            </w:p>
                          </w:tc>
                        </w:tr>
                      </w:tbl>
                      <w:p w14:paraId="62D6EC4B" w14:textId="77777777" w:rsidR="00EB345E" w:rsidRDefault="00EB345E"/>
                    </w:tc>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EB345E" w14:paraId="62F3509E" w14:textId="77777777">
                          <w:tc>
                            <w:tcPr>
                              <w:tcW w:w="0" w:type="auto"/>
                              <w:hideMark/>
                            </w:tcPr>
                            <w:p w14:paraId="6A33DEB2" w14:textId="77777777" w:rsidR="00EB345E" w:rsidRDefault="00EB345E">
                              <w:pPr>
                                <w:rPr>
                                  <w:sz w:val="20"/>
                                  <w:szCs w:val="20"/>
                                </w:rPr>
                              </w:pPr>
                            </w:p>
                          </w:tc>
                        </w:tr>
                      </w:tbl>
                      <w:p w14:paraId="2B68A434" w14:textId="77777777" w:rsidR="00EB345E" w:rsidRDefault="00EB345E"/>
                    </w:tc>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EB345E" w14:paraId="2FB3E3DB" w14:textId="77777777">
                          <w:tc>
                            <w:tcPr>
                              <w:tcW w:w="0" w:type="auto"/>
                              <w:hideMark/>
                            </w:tcPr>
                            <w:p w14:paraId="68701A75" w14:textId="77777777" w:rsidR="00EB345E" w:rsidRDefault="00EB345E">
                              <w:pPr>
                                <w:rPr>
                                  <w:sz w:val="20"/>
                                  <w:szCs w:val="20"/>
                                </w:rPr>
                              </w:pPr>
                            </w:p>
                          </w:tc>
                        </w:tr>
                      </w:tbl>
                      <w:p w14:paraId="23390ADF" w14:textId="77777777" w:rsidR="00EB345E" w:rsidRDefault="00EB345E"/>
                    </w:tc>
                  </w:tr>
                </w:tbl>
                <w:p w14:paraId="11D1FB4B" w14:textId="77777777" w:rsidR="00EB345E" w:rsidRDefault="00EB345E">
                  <w:pPr>
                    <w:jc w:val="center"/>
                  </w:pPr>
                </w:p>
              </w:tc>
            </w:tr>
          </w:tbl>
          <w:p w14:paraId="4D48441B" w14:textId="77777777" w:rsidR="00EB345E" w:rsidRDefault="00EB345E">
            <w:pPr>
              <w:jc w:val="center"/>
              <w:rPr>
                <w:rFonts w:ascii="Times" w:hAnsi="Times"/>
                <w:color w:val="000000"/>
                <w:sz w:val="27"/>
                <w:szCs w:val="27"/>
              </w:rPr>
            </w:pPr>
          </w:p>
        </w:tc>
      </w:tr>
    </w:tbl>
    <w:p w14:paraId="7788B450" w14:textId="77777777" w:rsidR="001B10FE" w:rsidRPr="0066194E" w:rsidRDefault="001B10FE" w:rsidP="0066194E"/>
    <w:sectPr w:rsidR="001B10FE" w:rsidRPr="0066194E" w:rsidSect="00C30442">
      <w:pgSz w:w="11900" w:h="16820"/>
      <w:pgMar w:top="1440" w:right="851" w:bottom="144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E49A2"/>
    <w:multiLevelType w:val="multilevel"/>
    <w:tmpl w:val="467A0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50AFB"/>
    <w:multiLevelType w:val="multilevel"/>
    <w:tmpl w:val="CA3E4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3B2477"/>
    <w:multiLevelType w:val="multilevel"/>
    <w:tmpl w:val="47C01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CA72E6"/>
    <w:multiLevelType w:val="multilevel"/>
    <w:tmpl w:val="6D3AC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FA6865"/>
    <w:multiLevelType w:val="multilevel"/>
    <w:tmpl w:val="75A4A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2D68FC"/>
    <w:multiLevelType w:val="multilevel"/>
    <w:tmpl w:val="A4D4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4D3AD6"/>
    <w:multiLevelType w:val="multilevel"/>
    <w:tmpl w:val="E0640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B96075"/>
    <w:multiLevelType w:val="multilevel"/>
    <w:tmpl w:val="7D68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E42A47"/>
    <w:multiLevelType w:val="multilevel"/>
    <w:tmpl w:val="4798E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A26B18"/>
    <w:multiLevelType w:val="multilevel"/>
    <w:tmpl w:val="88F4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431CAD"/>
    <w:multiLevelType w:val="multilevel"/>
    <w:tmpl w:val="8588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E23392"/>
    <w:multiLevelType w:val="multilevel"/>
    <w:tmpl w:val="5510B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BF1B9D"/>
    <w:multiLevelType w:val="multilevel"/>
    <w:tmpl w:val="1CDA4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BD74F8"/>
    <w:multiLevelType w:val="multilevel"/>
    <w:tmpl w:val="3780B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E200E7"/>
    <w:multiLevelType w:val="multilevel"/>
    <w:tmpl w:val="78248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0E3C8A"/>
    <w:multiLevelType w:val="multilevel"/>
    <w:tmpl w:val="5810D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A77ACB"/>
    <w:multiLevelType w:val="multilevel"/>
    <w:tmpl w:val="2B445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3552EA"/>
    <w:multiLevelType w:val="multilevel"/>
    <w:tmpl w:val="6686B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BE5246"/>
    <w:multiLevelType w:val="multilevel"/>
    <w:tmpl w:val="2252F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3E6608"/>
    <w:multiLevelType w:val="multilevel"/>
    <w:tmpl w:val="32321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9B69AA"/>
    <w:multiLevelType w:val="multilevel"/>
    <w:tmpl w:val="EFE2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F55030"/>
    <w:multiLevelType w:val="multilevel"/>
    <w:tmpl w:val="2DC2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B72553"/>
    <w:multiLevelType w:val="multilevel"/>
    <w:tmpl w:val="247C2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3DA5017"/>
    <w:multiLevelType w:val="multilevel"/>
    <w:tmpl w:val="7A1AA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5"/>
  </w:num>
  <w:num w:numId="3">
    <w:abstractNumId w:val="10"/>
  </w:num>
  <w:num w:numId="4">
    <w:abstractNumId w:val="9"/>
  </w:num>
  <w:num w:numId="5">
    <w:abstractNumId w:val="2"/>
  </w:num>
  <w:num w:numId="6">
    <w:abstractNumId w:val="11"/>
  </w:num>
  <w:num w:numId="7">
    <w:abstractNumId w:val="12"/>
  </w:num>
  <w:num w:numId="8">
    <w:abstractNumId w:val="6"/>
  </w:num>
  <w:num w:numId="9">
    <w:abstractNumId w:val="15"/>
  </w:num>
  <w:num w:numId="10">
    <w:abstractNumId w:val="7"/>
  </w:num>
  <w:num w:numId="11">
    <w:abstractNumId w:val="8"/>
  </w:num>
  <w:num w:numId="12">
    <w:abstractNumId w:val="20"/>
  </w:num>
  <w:num w:numId="13">
    <w:abstractNumId w:val="4"/>
  </w:num>
  <w:num w:numId="14">
    <w:abstractNumId w:val="22"/>
  </w:num>
  <w:num w:numId="15">
    <w:abstractNumId w:val="0"/>
  </w:num>
  <w:num w:numId="16">
    <w:abstractNumId w:val="14"/>
  </w:num>
  <w:num w:numId="17">
    <w:abstractNumId w:val="23"/>
  </w:num>
  <w:num w:numId="18">
    <w:abstractNumId w:val="17"/>
  </w:num>
  <w:num w:numId="19">
    <w:abstractNumId w:val="1"/>
  </w:num>
  <w:num w:numId="20">
    <w:abstractNumId w:val="19"/>
  </w:num>
  <w:num w:numId="21">
    <w:abstractNumId w:val="13"/>
  </w:num>
  <w:num w:numId="22">
    <w:abstractNumId w:val="18"/>
  </w:num>
  <w:num w:numId="23">
    <w:abstractNumId w:val="3"/>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442"/>
    <w:rsid w:val="000326F3"/>
    <w:rsid w:val="0016189B"/>
    <w:rsid w:val="001B10FE"/>
    <w:rsid w:val="003127A5"/>
    <w:rsid w:val="003E04A9"/>
    <w:rsid w:val="00446DA3"/>
    <w:rsid w:val="00500F2A"/>
    <w:rsid w:val="00620940"/>
    <w:rsid w:val="0066194E"/>
    <w:rsid w:val="00830447"/>
    <w:rsid w:val="008650B2"/>
    <w:rsid w:val="00973806"/>
    <w:rsid w:val="00B04A33"/>
    <w:rsid w:val="00C2491D"/>
    <w:rsid w:val="00C30442"/>
    <w:rsid w:val="00CA182F"/>
    <w:rsid w:val="00D334F3"/>
    <w:rsid w:val="00D507DA"/>
    <w:rsid w:val="00D516B1"/>
    <w:rsid w:val="00DA71A4"/>
    <w:rsid w:val="00E1467A"/>
    <w:rsid w:val="00EB345E"/>
    <w:rsid w:val="00FE67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2F7F8"/>
  <w15:chartTrackingRefBased/>
  <w15:docId w15:val="{409B00D4-084C-BA45-9EFF-C565D97D1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30442"/>
    <w:rPr>
      <w:i/>
      <w:iCs/>
    </w:rPr>
  </w:style>
  <w:style w:type="character" w:styleId="Strong">
    <w:name w:val="Strong"/>
    <w:basedOn w:val="DefaultParagraphFont"/>
    <w:uiPriority w:val="22"/>
    <w:qFormat/>
    <w:rsid w:val="00C30442"/>
    <w:rPr>
      <w:b/>
      <w:bCs/>
    </w:rPr>
  </w:style>
  <w:style w:type="character" w:styleId="Hyperlink">
    <w:name w:val="Hyperlink"/>
    <w:basedOn w:val="DefaultParagraphFont"/>
    <w:uiPriority w:val="99"/>
    <w:semiHidden/>
    <w:unhideWhenUsed/>
    <w:rsid w:val="00C30442"/>
    <w:rPr>
      <w:color w:val="0000FF"/>
      <w:u w:val="single"/>
    </w:rPr>
  </w:style>
  <w:style w:type="paragraph" w:styleId="NormalWeb">
    <w:name w:val="Normal (Web)"/>
    <w:basedOn w:val="Normal"/>
    <w:uiPriority w:val="99"/>
    <w:semiHidden/>
    <w:unhideWhenUsed/>
    <w:rsid w:val="00C30442"/>
    <w:pPr>
      <w:spacing w:before="100" w:beforeAutospacing="1" w:after="100" w:afterAutospacing="1"/>
    </w:pPr>
    <w:rPr>
      <w:rFonts w:ascii="Times New Roman" w:eastAsia="Times New Roman" w:hAnsi="Times New Roman" w:cs="Times New Roman"/>
      <w:lang w:eastAsia="en-GB"/>
    </w:rPr>
  </w:style>
  <w:style w:type="character" w:customStyle="1" w:styleId="st">
    <w:name w:val="st"/>
    <w:basedOn w:val="DefaultParagraphFont"/>
    <w:rsid w:val="00C30442"/>
  </w:style>
  <w:style w:type="character" w:customStyle="1" w:styleId="5yl5">
    <w:name w:val="_5yl5"/>
    <w:basedOn w:val="DefaultParagraphFont"/>
    <w:rsid w:val="00C249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327088">
      <w:bodyDiv w:val="1"/>
      <w:marLeft w:val="0"/>
      <w:marRight w:val="0"/>
      <w:marTop w:val="0"/>
      <w:marBottom w:val="0"/>
      <w:divBdr>
        <w:top w:val="none" w:sz="0" w:space="0" w:color="auto"/>
        <w:left w:val="none" w:sz="0" w:space="0" w:color="auto"/>
        <w:bottom w:val="none" w:sz="0" w:space="0" w:color="auto"/>
        <w:right w:val="none" w:sz="0" w:space="0" w:color="auto"/>
      </w:divBdr>
    </w:div>
    <w:div w:id="209616275">
      <w:bodyDiv w:val="1"/>
      <w:marLeft w:val="0"/>
      <w:marRight w:val="0"/>
      <w:marTop w:val="0"/>
      <w:marBottom w:val="0"/>
      <w:divBdr>
        <w:top w:val="none" w:sz="0" w:space="0" w:color="auto"/>
        <w:left w:val="none" w:sz="0" w:space="0" w:color="auto"/>
        <w:bottom w:val="none" w:sz="0" w:space="0" w:color="auto"/>
        <w:right w:val="none" w:sz="0" w:space="0" w:color="auto"/>
      </w:divBdr>
    </w:div>
    <w:div w:id="326633990">
      <w:bodyDiv w:val="1"/>
      <w:marLeft w:val="0"/>
      <w:marRight w:val="0"/>
      <w:marTop w:val="0"/>
      <w:marBottom w:val="0"/>
      <w:divBdr>
        <w:top w:val="none" w:sz="0" w:space="0" w:color="auto"/>
        <w:left w:val="none" w:sz="0" w:space="0" w:color="auto"/>
        <w:bottom w:val="none" w:sz="0" w:space="0" w:color="auto"/>
        <w:right w:val="none" w:sz="0" w:space="0" w:color="auto"/>
      </w:divBdr>
    </w:div>
    <w:div w:id="326833970">
      <w:bodyDiv w:val="1"/>
      <w:marLeft w:val="0"/>
      <w:marRight w:val="0"/>
      <w:marTop w:val="0"/>
      <w:marBottom w:val="0"/>
      <w:divBdr>
        <w:top w:val="none" w:sz="0" w:space="0" w:color="auto"/>
        <w:left w:val="none" w:sz="0" w:space="0" w:color="auto"/>
        <w:bottom w:val="none" w:sz="0" w:space="0" w:color="auto"/>
        <w:right w:val="none" w:sz="0" w:space="0" w:color="auto"/>
      </w:divBdr>
    </w:div>
    <w:div w:id="345329483">
      <w:bodyDiv w:val="1"/>
      <w:marLeft w:val="0"/>
      <w:marRight w:val="0"/>
      <w:marTop w:val="0"/>
      <w:marBottom w:val="0"/>
      <w:divBdr>
        <w:top w:val="none" w:sz="0" w:space="0" w:color="auto"/>
        <w:left w:val="none" w:sz="0" w:space="0" w:color="auto"/>
        <w:bottom w:val="none" w:sz="0" w:space="0" w:color="auto"/>
        <w:right w:val="none" w:sz="0" w:space="0" w:color="auto"/>
      </w:divBdr>
    </w:div>
    <w:div w:id="591931593">
      <w:bodyDiv w:val="1"/>
      <w:marLeft w:val="0"/>
      <w:marRight w:val="0"/>
      <w:marTop w:val="0"/>
      <w:marBottom w:val="0"/>
      <w:divBdr>
        <w:top w:val="none" w:sz="0" w:space="0" w:color="auto"/>
        <w:left w:val="none" w:sz="0" w:space="0" w:color="auto"/>
        <w:bottom w:val="none" w:sz="0" w:space="0" w:color="auto"/>
        <w:right w:val="none" w:sz="0" w:space="0" w:color="auto"/>
      </w:divBdr>
    </w:div>
    <w:div w:id="696779357">
      <w:bodyDiv w:val="1"/>
      <w:marLeft w:val="0"/>
      <w:marRight w:val="0"/>
      <w:marTop w:val="0"/>
      <w:marBottom w:val="0"/>
      <w:divBdr>
        <w:top w:val="none" w:sz="0" w:space="0" w:color="auto"/>
        <w:left w:val="none" w:sz="0" w:space="0" w:color="auto"/>
        <w:bottom w:val="none" w:sz="0" w:space="0" w:color="auto"/>
        <w:right w:val="none" w:sz="0" w:space="0" w:color="auto"/>
      </w:divBdr>
    </w:div>
    <w:div w:id="811139666">
      <w:bodyDiv w:val="1"/>
      <w:marLeft w:val="0"/>
      <w:marRight w:val="0"/>
      <w:marTop w:val="0"/>
      <w:marBottom w:val="0"/>
      <w:divBdr>
        <w:top w:val="none" w:sz="0" w:space="0" w:color="auto"/>
        <w:left w:val="none" w:sz="0" w:space="0" w:color="auto"/>
        <w:bottom w:val="none" w:sz="0" w:space="0" w:color="auto"/>
        <w:right w:val="none" w:sz="0" w:space="0" w:color="auto"/>
      </w:divBdr>
    </w:div>
    <w:div w:id="825902802">
      <w:bodyDiv w:val="1"/>
      <w:marLeft w:val="0"/>
      <w:marRight w:val="0"/>
      <w:marTop w:val="0"/>
      <w:marBottom w:val="0"/>
      <w:divBdr>
        <w:top w:val="none" w:sz="0" w:space="0" w:color="auto"/>
        <w:left w:val="none" w:sz="0" w:space="0" w:color="auto"/>
        <w:bottom w:val="none" w:sz="0" w:space="0" w:color="auto"/>
        <w:right w:val="none" w:sz="0" w:space="0" w:color="auto"/>
      </w:divBdr>
    </w:div>
    <w:div w:id="861211908">
      <w:bodyDiv w:val="1"/>
      <w:marLeft w:val="0"/>
      <w:marRight w:val="0"/>
      <w:marTop w:val="0"/>
      <w:marBottom w:val="0"/>
      <w:divBdr>
        <w:top w:val="none" w:sz="0" w:space="0" w:color="auto"/>
        <w:left w:val="none" w:sz="0" w:space="0" w:color="auto"/>
        <w:bottom w:val="none" w:sz="0" w:space="0" w:color="auto"/>
        <w:right w:val="none" w:sz="0" w:space="0" w:color="auto"/>
      </w:divBdr>
    </w:div>
    <w:div w:id="963535292">
      <w:bodyDiv w:val="1"/>
      <w:marLeft w:val="0"/>
      <w:marRight w:val="0"/>
      <w:marTop w:val="0"/>
      <w:marBottom w:val="0"/>
      <w:divBdr>
        <w:top w:val="none" w:sz="0" w:space="0" w:color="auto"/>
        <w:left w:val="none" w:sz="0" w:space="0" w:color="auto"/>
        <w:bottom w:val="none" w:sz="0" w:space="0" w:color="auto"/>
        <w:right w:val="none" w:sz="0" w:space="0" w:color="auto"/>
      </w:divBdr>
    </w:div>
    <w:div w:id="1201088405">
      <w:bodyDiv w:val="1"/>
      <w:marLeft w:val="0"/>
      <w:marRight w:val="0"/>
      <w:marTop w:val="0"/>
      <w:marBottom w:val="0"/>
      <w:divBdr>
        <w:top w:val="none" w:sz="0" w:space="0" w:color="auto"/>
        <w:left w:val="none" w:sz="0" w:space="0" w:color="auto"/>
        <w:bottom w:val="none" w:sz="0" w:space="0" w:color="auto"/>
        <w:right w:val="none" w:sz="0" w:space="0" w:color="auto"/>
      </w:divBdr>
    </w:div>
    <w:div w:id="1256746072">
      <w:bodyDiv w:val="1"/>
      <w:marLeft w:val="0"/>
      <w:marRight w:val="0"/>
      <w:marTop w:val="0"/>
      <w:marBottom w:val="0"/>
      <w:divBdr>
        <w:top w:val="none" w:sz="0" w:space="0" w:color="auto"/>
        <w:left w:val="none" w:sz="0" w:space="0" w:color="auto"/>
        <w:bottom w:val="none" w:sz="0" w:space="0" w:color="auto"/>
        <w:right w:val="none" w:sz="0" w:space="0" w:color="auto"/>
      </w:divBdr>
    </w:div>
    <w:div w:id="1279794301">
      <w:bodyDiv w:val="1"/>
      <w:marLeft w:val="0"/>
      <w:marRight w:val="0"/>
      <w:marTop w:val="0"/>
      <w:marBottom w:val="0"/>
      <w:divBdr>
        <w:top w:val="none" w:sz="0" w:space="0" w:color="auto"/>
        <w:left w:val="none" w:sz="0" w:space="0" w:color="auto"/>
        <w:bottom w:val="none" w:sz="0" w:space="0" w:color="auto"/>
        <w:right w:val="none" w:sz="0" w:space="0" w:color="auto"/>
      </w:divBdr>
    </w:div>
    <w:div w:id="1303730004">
      <w:bodyDiv w:val="1"/>
      <w:marLeft w:val="0"/>
      <w:marRight w:val="0"/>
      <w:marTop w:val="0"/>
      <w:marBottom w:val="0"/>
      <w:divBdr>
        <w:top w:val="none" w:sz="0" w:space="0" w:color="auto"/>
        <w:left w:val="none" w:sz="0" w:space="0" w:color="auto"/>
        <w:bottom w:val="none" w:sz="0" w:space="0" w:color="auto"/>
        <w:right w:val="none" w:sz="0" w:space="0" w:color="auto"/>
      </w:divBdr>
    </w:div>
    <w:div w:id="1633363327">
      <w:bodyDiv w:val="1"/>
      <w:marLeft w:val="0"/>
      <w:marRight w:val="0"/>
      <w:marTop w:val="0"/>
      <w:marBottom w:val="0"/>
      <w:divBdr>
        <w:top w:val="none" w:sz="0" w:space="0" w:color="auto"/>
        <w:left w:val="none" w:sz="0" w:space="0" w:color="auto"/>
        <w:bottom w:val="none" w:sz="0" w:space="0" w:color="auto"/>
        <w:right w:val="none" w:sz="0" w:space="0" w:color="auto"/>
      </w:divBdr>
    </w:div>
    <w:div w:id="1679457229">
      <w:bodyDiv w:val="1"/>
      <w:marLeft w:val="0"/>
      <w:marRight w:val="0"/>
      <w:marTop w:val="0"/>
      <w:marBottom w:val="0"/>
      <w:divBdr>
        <w:top w:val="none" w:sz="0" w:space="0" w:color="auto"/>
        <w:left w:val="none" w:sz="0" w:space="0" w:color="auto"/>
        <w:bottom w:val="none" w:sz="0" w:space="0" w:color="auto"/>
        <w:right w:val="none" w:sz="0" w:space="0" w:color="auto"/>
      </w:divBdr>
    </w:div>
    <w:div w:id="1717777589">
      <w:bodyDiv w:val="1"/>
      <w:marLeft w:val="0"/>
      <w:marRight w:val="0"/>
      <w:marTop w:val="0"/>
      <w:marBottom w:val="0"/>
      <w:divBdr>
        <w:top w:val="none" w:sz="0" w:space="0" w:color="auto"/>
        <w:left w:val="none" w:sz="0" w:space="0" w:color="auto"/>
        <w:bottom w:val="none" w:sz="0" w:space="0" w:color="auto"/>
        <w:right w:val="none" w:sz="0" w:space="0" w:color="auto"/>
      </w:divBdr>
    </w:div>
    <w:div w:id="1842813814">
      <w:bodyDiv w:val="1"/>
      <w:marLeft w:val="0"/>
      <w:marRight w:val="0"/>
      <w:marTop w:val="0"/>
      <w:marBottom w:val="0"/>
      <w:divBdr>
        <w:top w:val="none" w:sz="0" w:space="0" w:color="auto"/>
        <w:left w:val="none" w:sz="0" w:space="0" w:color="auto"/>
        <w:bottom w:val="none" w:sz="0" w:space="0" w:color="auto"/>
        <w:right w:val="none" w:sz="0" w:space="0" w:color="auto"/>
      </w:divBdr>
    </w:div>
    <w:div w:id="1975671564">
      <w:bodyDiv w:val="1"/>
      <w:marLeft w:val="0"/>
      <w:marRight w:val="0"/>
      <w:marTop w:val="0"/>
      <w:marBottom w:val="0"/>
      <w:divBdr>
        <w:top w:val="none" w:sz="0" w:space="0" w:color="auto"/>
        <w:left w:val="none" w:sz="0" w:space="0" w:color="auto"/>
        <w:bottom w:val="none" w:sz="0" w:space="0" w:color="auto"/>
        <w:right w:val="none" w:sz="0" w:space="0" w:color="auto"/>
      </w:divBdr>
    </w:div>
    <w:div w:id="2075153499">
      <w:bodyDiv w:val="1"/>
      <w:marLeft w:val="0"/>
      <w:marRight w:val="0"/>
      <w:marTop w:val="0"/>
      <w:marBottom w:val="0"/>
      <w:divBdr>
        <w:top w:val="none" w:sz="0" w:space="0" w:color="auto"/>
        <w:left w:val="none" w:sz="0" w:space="0" w:color="auto"/>
        <w:bottom w:val="none" w:sz="0" w:space="0" w:color="auto"/>
        <w:right w:val="none" w:sz="0" w:space="0" w:color="auto"/>
      </w:divBdr>
    </w:div>
    <w:div w:id="2077968500">
      <w:bodyDiv w:val="1"/>
      <w:marLeft w:val="0"/>
      <w:marRight w:val="0"/>
      <w:marTop w:val="0"/>
      <w:marBottom w:val="0"/>
      <w:divBdr>
        <w:top w:val="none" w:sz="0" w:space="0" w:color="auto"/>
        <w:left w:val="none" w:sz="0" w:space="0" w:color="auto"/>
        <w:bottom w:val="none" w:sz="0" w:space="0" w:color="auto"/>
        <w:right w:val="none" w:sz="0" w:space="0" w:color="auto"/>
      </w:divBdr>
    </w:div>
    <w:div w:id="2087651497">
      <w:bodyDiv w:val="1"/>
      <w:marLeft w:val="0"/>
      <w:marRight w:val="0"/>
      <w:marTop w:val="0"/>
      <w:marBottom w:val="0"/>
      <w:divBdr>
        <w:top w:val="none" w:sz="0" w:space="0" w:color="auto"/>
        <w:left w:val="none" w:sz="0" w:space="0" w:color="auto"/>
        <w:bottom w:val="none" w:sz="0" w:space="0" w:color="auto"/>
        <w:right w:val="none" w:sz="0" w:space="0" w:color="auto"/>
      </w:divBdr>
    </w:div>
    <w:div w:id="2133088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ediplomat.com/2020/10/australia-and-south-korea-can-and-must-deepen-defense-industry-cooperation/" TargetMode="External"/><Relationship Id="rId18" Type="http://schemas.openxmlformats.org/officeDocument/2006/relationships/hyperlink" Target="https://www.penguin.com.au/books/english-pastoral-9780241501214" TargetMode="External"/><Relationship Id="rId26" Type="http://schemas.openxmlformats.org/officeDocument/2006/relationships/hyperlink" Target="https://www.theatlantic.com/international/archive/2020/10/taiwan-us-china-donald-trump/616657/" TargetMode="External"/><Relationship Id="rId21" Type="http://schemas.openxmlformats.org/officeDocument/2006/relationships/image" Target="media/image6.jpeg"/><Relationship Id="rId34" Type="http://schemas.openxmlformats.org/officeDocument/2006/relationships/hyperlink" Target="https://www.crisisgroup.org/asia/south-east-asia/myanmar/312-identity-crisis-ethnicity-and-conflict-myanmar" TargetMode="External"/><Relationship Id="rId7" Type="http://schemas.openxmlformats.org/officeDocument/2006/relationships/image" Target="media/image3.png"/><Relationship Id="rId12" Type="http://schemas.openxmlformats.org/officeDocument/2006/relationships/image" Target="media/image4.jpeg"/><Relationship Id="rId17" Type="http://schemas.openxmlformats.org/officeDocument/2006/relationships/image" Target="media/image5.jpeg"/><Relationship Id="rId25" Type="http://schemas.openxmlformats.org/officeDocument/2006/relationships/image" Target="media/image7.jpeg"/><Relationship Id="rId33" Type="http://schemas.openxmlformats.org/officeDocument/2006/relationships/hyperlink" Target="https://pacificaidmap.lowyinstitute.org/" TargetMode="External"/><Relationship Id="rId2" Type="http://schemas.openxmlformats.org/officeDocument/2006/relationships/styles" Target="styles.xml"/><Relationship Id="rId16" Type="http://schemas.openxmlformats.org/officeDocument/2006/relationships/hyperlink" Target="https://www.flickr.com/photos/imcomkorea/3490949635/in/photolist-6ju2GP-2crPKw5-9ikNTu-ecgTM3-5yjYuB-qaTvva-bPDTZ4-27fbHvS-amfJt6-amiw57-ecbfJv-9PrF71-5SCjST-c16mgY-c16qZf-5EqWbG-c16tWy-bPDTGP-aFZmGv-c7dXYY-bPDTJp-aFZmx2-amiwio-9PrF6U-aFZmU4-bAMdqs-9PrF7m-8pU7Nf-4QLAvr-c16rb1-c16B7o-c16CBC-c16sUs-c16nhq-6wMPnP-9ikESh-ecgTQ1-5Y9teu-5ypsof-5ypjMd-6jxEq3-5yk1CZ-9ihAwD-6jtEbR-6jy2HQ-bXict3-9ihDy6-c7dYxm-9i9yiY-8UySHA" TargetMode="External"/><Relationship Id="rId20" Type="http://schemas.openxmlformats.org/officeDocument/2006/relationships/hyperlink" Target="https://www.flickr.com/photos/67769979@N06/20038670816/in/photolist-wwKqGq-2cJ4WbN-2j72aJR-Zm5SLN-6aAAiW-2i5kku5-2hHFWtX-2jN2TST-2hJKRus-2idre4G-2hJLSx3-2hJHpPA-2eNrKRp-273g7DD-2i5vgv8-L4hMc6-bmXw5v-2b8yRB7-LiFjw9-Wp9jJP-27BPPpJ-LVEsSH-5pWWG-9nRRK3-WkfUNB-RjNvRV-2jDB5GM-bmyGyM-eiNtQX-ann36k-25GXEox-4USaSr-pa1YiZ-6zgmBA-BykmiV-j1px6y-j1nMsm-2eF9Z7E-24fK2GQ-ycmN1-aji6wE-7BRy4D-6zfAW5-6zfCk5-6zcii6-bWFo2o-2hJhy3u-6zcjDB-6zbyTR-2gDrUVQ" TargetMode="External"/><Relationship Id="rId29" Type="http://schemas.openxmlformats.org/officeDocument/2006/relationships/hyperlink" Target="https://www.abc.net.au/news/2020-10-11/us-election-voting-changed-by-secret-australian-ballot-history/12726686"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economist.com/europe/2020/10/10/the-azerbaijan-armenia-conflict-hints-at-the-future-of-war" TargetMode="External"/><Relationship Id="rId24" Type="http://schemas.openxmlformats.org/officeDocument/2006/relationships/hyperlink" Target="https://www.flickr.com/photos/marcofieber/22361778233/in/photolist-RpmziK-7o9tZy-2dq2YYY-A52XAz-B1ZHxa-cpAAdJ-2hu3xPi-ahWMr5-2fPzZ9C-2d8hY68-2hvVbCQ" TargetMode="External"/><Relationship Id="rId32" Type="http://schemas.openxmlformats.org/officeDocument/2006/relationships/hyperlink" Target="https://thediplomat.com/2020/10/a-nuclear-north-koreas-wake-up-call/" TargetMode="External"/><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defenseworld.net/news/27628/S_Korea_to_Develop_Nuke_Powered_Submarine" TargetMode="External"/><Relationship Id="rId23" Type="http://schemas.openxmlformats.org/officeDocument/2006/relationships/hyperlink" Target="https://foreignpolicy.com/2020/10/13/belarus-lukashenko-talk-protesters-russia/" TargetMode="External"/><Relationship Id="rId28" Type="http://schemas.openxmlformats.org/officeDocument/2006/relationships/hyperlink" Target="https://www.flickr.com/photos/presidentialoffice/27056662981/in/photolist-YzxaWq-CNaarn-CNab1t-CCRCwz-Hbyop9-HdUtgk-HdUuzT-HdUqcK-HjWaok-HjWa4T-HdUrsa-GpzrE6-GpzrqZ-BSbtVs-ETqDuA-DMVJTQ-QBViZC-EyKuPP-RccXFV-2ig5B27" TargetMode="External"/><Relationship Id="rId36" Type="http://schemas.openxmlformats.org/officeDocument/2006/relationships/fontTable" Target="fontTable.xml"/><Relationship Id="rId10" Type="http://schemas.openxmlformats.org/officeDocument/2006/relationships/hyperlink" Target="https://www.aspistrategist.org.au/nagorno-karabakh-conflict-could-quickly-turn-into-regional-war/" TargetMode="External"/><Relationship Id="rId19" Type="http://schemas.openxmlformats.org/officeDocument/2006/relationships/hyperlink" Target="https://www.penguin.com.au/books/english-pastoral-9780241501214" TargetMode="External"/><Relationship Id="rId31" Type="http://schemas.openxmlformats.org/officeDocument/2006/relationships/hyperlink" Target="https://www.afr.com/world/north-america/why-president-biden-will-expect-australia-to-muscle-up-on-china-20201011-p563xk" TargetMode="External"/><Relationship Id="rId4" Type="http://schemas.openxmlformats.org/officeDocument/2006/relationships/webSettings" Target="webSettings.xml"/><Relationship Id="rId9" Type="http://schemas.openxmlformats.org/officeDocument/2006/relationships/hyperlink" Target="https://www.historytoday.com/miscellanies/nagorno-karabakhs-myth-ancient-hatreds?utm_source=100+YEARS+ON%3A+ARMISTICE+CENTENARY+EBOOK+MAILING&amp;utm_campaign=c51671cbb3-EMAIL_CAMPAIGN_2017_09_20_COPY_01&amp;utm_medium=email&amp;utm_term=0_c049dd5c6e-c51671cbb3-602789" TargetMode="External"/><Relationship Id="rId14" Type="http://schemas.openxmlformats.org/officeDocument/2006/relationships/hyperlink" Target="https://thediplomat.com/2020/10/australia-and-south-korea-can-and-must-deepen-defense-industry-cooperation/" TargetMode="External"/><Relationship Id="rId22" Type="http://schemas.openxmlformats.org/officeDocument/2006/relationships/hyperlink" Target="https://foreignpolicy.com/2020/10/13/belarus-lukashenko-talk-protesters-russia/" TargetMode="External"/><Relationship Id="rId27" Type="http://schemas.openxmlformats.org/officeDocument/2006/relationships/hyperlink" Target="https://www.theatlantic.com/international/archive/2020/10/taiwan-us-china-donald-trump/616657/" TargetMode="External"/><Relationship Id="rId30" Type="http://schemas.openxmlformats.org/officeDocument/2006/relationships/hyperlink" Target="https://fivethirtyeight.com/videos/how-president-trump-could-still-win-re-election/" TargetMode="External"/><Relationship Id="rId35" Type="http://schemas.openxmlformats.org/officeDocument/2006/relationships/hyperlink" Target="mailto:aiianswletters@gmail.com" TargetMode="External"/><Relationship Id="rId8" Type="http://schemas.openxmlformats.org/officeDocument/2006/relationships/hyperlink" Target="https://www.voanews.com/south-central-asia/why-azerbaijan-fighting"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2052</Words>
  <Characters>11698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Jenny Sayle</cp:lastModifiedBy>
  <cp:revision>2</cp:revision>
  <dcterms:created xsi:type="dcterms:W3CDTF">2020-10-16T23:06:00Z</dcterms:created>
  <dcterms:modified xsi:type="dcterms:W3CDTF">2020-10-16T23:06:00Z</dcterms:modified>
</cp:coreProperties>
</file>